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62662A">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62662A">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62662A">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62662A">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62662A">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62662A">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62662A">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62662A">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62662A">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62662A">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62662A">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62662A">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62662A">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62662A">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62662A">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62662A">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62662A">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62662A">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62662A">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62662A">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62662A">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62662A">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62662A">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62662A">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62662A">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62662A">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62662A">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62662A">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62662A">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62662A">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62662A">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62662A">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62662A">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62662A">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62662A">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62662A">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62662A">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62662A">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62662A">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62662A">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62662A">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62662A">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62662A">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62662A">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62662A">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62662A">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7"/>
        <w:gridCol w:w="5184"/>
        <w:gridCol w:w="179"/>
        <w:gridCol w:w="104"/>
        <w:gridCol w:w="4082"/>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301134"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301134"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301134"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301134"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301134"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30113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E9B5A62" w:rsidR="00093CA9" w:rsidRDefault="00307B5D" w:rsidP="00093CA9">
            <w:r>
              <w:t>UK Emissions Trading Scheme</w:t>
            </w:r>
          </w:p>
        </w:tc>
      </w:tr>
      <w:tr w:rsidR="00301134"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301134"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F58E8B3" w14:textId="1A678F5F" w:rsidR="00093CA9" w:rsidRDefault="00301134" w:rsidP="00093CA9">
            <w:r>
              <w:t xml:space="preserve">The Greenhouse Gas Emissions Trading Scheme Order 2020: </w:t>
            </w:r>
            <w:hyperlink r:id="rId19" w:history="1">
              <w:r w:rsidR="00BA5206" w:rsidRPr="00116902">
                <w:rPr>
                  <w:rStyle w:val="Hyperlink"/>
                </w:rPr>
                <w:t>https://web.archive.org/web/20250718205416/https://www.legislation.gov.uk/uksi/2020/1265/contents</w:t>
              </w:r>
            </w:hyperlink>
            <w:r w:rsidR="00BA5206">
              <w:rPr>
                <w:rStyle w:val="Hyperlink"/>
              </w:rPr>
              <w:t xml:space="preserve"> </w:t>
            </w:r>
          </w:p>
          <w:p w14:paraId="1523C232" w14:textId="6D0DB5A0" w:rsidR="00301134" w:rsidRDefault="00301134" w:rsidP="00093CA9">
            <w:r>
              <w:t xml:space="preserve">Guidance: Participating in the UK ETS: </w:t>
            </w:r>
            <w:hyperlink r:id="rId20" w:history="1">
              <w:r w:rsidRPr="002169D5">
                <w:rPr>
                  <w:rStyle w:val="Hyperlink"/>
                </w:rPr>
                <w:t>https://web.archive.org/web/20250708124842/https://www.gov.uk/government/publications/participating-in-the-uk-ets/participating-in-the-uk-ets</w:t>
              </w:r>
            </w:hyperlink>
            <w:r>
              <w:t xml:space="preserve"> </w:t>
            </w:r>
          </w:p>
        </w:tc>
      </w:tr>
      <w:tr w:rsidR="00301134"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301134"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301134"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301134"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301134"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58EB4E" w:rsidR="00093CA9" w:rsidRDefault="003A4074" w:rsidP="00093CA9">
            <w:r>
              <w:t>X</w:t>
            </w:r>
          </w:p>
        </w:tc>
      </w:tr>
      <w:tr w:rsidR="00301134"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301134"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301134"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301134"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8C6E3C3" w:rsidR="00093CA9" w:rsidRDefault="00730C51" w:rsidP="00093CA9">
            <w:r w:rsidRPr="00730C51">
              <w:t>The Greenhouse Gas Emissions Trading Scheme Order 2020 (SI 2020/1265) (the “</w:t>
            </w:r>
            <w:r w:rsidRPr="00730C51">
              <w:rPr>
                <w:b/>
                <w:bCs/>
              </w:rPr>
              <w:t>Order</w:t>
            </w:r>
            <w:r w:rsidRPr="00730C51">
              <w:t>”) established the UK Emissions Trading Scheme (“</w:t>
            </w:r>
            <w:r w:rsidRPr="00730C51">
              <w:rPr>
                <w:b/>
                <w:bCs/>
              </w:rPr>
              <w:t>UK ETS</w:t>
            </w:r>
            <w:r w:rsidRPr="00730C51">
              <w:t xml:space="preserve">”) as a successor to the EU Emissions Trading Scheme following Brexit. The UK ETS is a </w:t>
            </w:r>
            <w:r>
              <w:t>“</w:t>
            </w:r>
            <w:r w:rsidRPr="00730C51">
              <w:t>cap and trade</w:t>
            </w:r>
            <w:r>
              <w:t>”</w:t>
            </w:r>
            <w:r w:rsidRPr="00730C51">
              <w:t xml:space="preserve"> mechanism that sets an annual cap on the greenhouse gas emissions of entities operating in energy-intensive sectors, such as aviation, power generation and heavy industry. Each year, in-scope entities must surrender a number of emissions allowances (each representing one tonne of carbon dioxide equivalent) equal to their emissions during the previous calendar year. In line with the UK’s net zero ambitions, overall cap decreases annually, tightening emissions limits over time. Allowances are tradeable and can be acquired in primary markets (either through free allocation  or auctioning  of allowances) as well as traded in secondary markets (either over-the-counter or on exchanges). Non-compliance with the scheme’s obligations may result in the imposition of civil penalties.</w:t>
            </w:r>
          </w:p>
        </w:tc>
      </w:tr>
      <w:tr w:rsidR="00301134"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301134"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4E5E56" w:rsidR="00093CA9" w:rsidRDefault="00E96D0B" w:rsidP="00093CA9">
            <w:r>
              <w:t>X</w:t>
            </w:r>
          </w:p>
        </w:tc>
      </w:tr>
      <w:tr w:rsidR="00301134"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01134"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301134"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01134"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301134"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301134"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301134" w:rsidRPr="00F43F2F"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68326E6" w:rsidR="00093CA9" w:rsidRPr="00F43F2F" w:rsidRDefault="00612D4B" w:rsidP="00093CA9">
            <w:r>
              <w:rPr>
                <w:color w:val="000000" w:themeColor="text1"/>
              </w:rPr>
              <w:t>The UK ETS</w:t>
            </w:r>
            <w:r w:rsidR="0084243D">
              <w:rPr>
                <w:color w:val="000000" w:themeColor="text1"/>
              </w:rPr>
              <w:t xml:space="preserve"> replaced the UK’s participation in the EU ETS on 1 January 2021</w:t>
            </w:r>
            <w:r>
              <w:rPr>
                <w:color w:val="000000" w:themeColor="text1"/>
              </w:rPr>
              <w:t>.</w:t>
            </w:r>
          </w:p>
        </w:tc>
      </w:tr>
      <w:tr w:rsidR="00301134" w14:paraId="5FF08B4A" w14:textId="77777777" w:rsidTr="2452D0D6">
        <w:trPr>
          <w:trHeight w:val="562"/>
        </w:trPr>
        <w:tc>
          <w:tcPr>
            <w:tcW w:w="1063" w:type="dxa"/>
            <w:vAlign w:val="center"/>
          </w:tcPr>
          <w:p w14:paraId="435D229D" w14:textId="26CCB451"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301134"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0A68726" w:rsidR="00093CA9" w:rsidRPr="00173D7C" w:rsidRDefault="002C5DD6" w:rsidP="00093CA9">
            <w:pPr>
              <w:rPr>
                <w:color w:val="000000" w:themeColor="text1"/>
              </w:rPr>
            </w:pPr>
            <w:r>
              <w:rPr>
                <w:color w:val="000000" w:themeColor="text1"/>
              </w:rPr>
              <w:t>2020</w:t>
            </w:r>
          </w:p>
        </w:tc>
      </w:tr>
      <w:tr w:rsidR="00301134"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301134"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F2C2A4A" w:rsidR="00093CA9" w:rsidRPr="00173D7C" w:rsidRDefault="002C5DD6" w:rsidP="00093CA9">
            <w:pPr>
              <w:rPr>
                <w:color w:val="000000" w:themeColor="text1"/>
              </w:rPr>
            </w:pPr>
            <w:r>
              <w:rPr>
                <w:color w:val="000000" w:themeColor="text1"/>
              </w:rPr>
              <w:t>2020, 2021</w:t>
            </w:r>
          </w:p>
        </w:tc>
      </w:tr>
      <w:tr w:rsidR="00301134" w14:paraId="2C2614F8" w14:textId="77777777" w:rsidTr="2452D0D6">
        <w:trPr>
          <w:trHeight w:val="77"/>
        </w:trPr>
        <w:tc>
          <w:tcPr>
            <w:tcW w:w="1063" w:type="dxa"/>
            <w:vAlign w:val="center"/>
          </w:tcPr>
          <w:p w14:paraId="2DA83D0C" w14:textId="6245A9B3"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301134"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E5A9CF9" w:rsidR="00093CA9" w:rsidRPr="00587FAE" w:rsidRDefault="002C5DD6" w:rsidP="00093CA9">
            <w:pPr>
              <w:rPr>
                <w:color w:val="000000" w:themeColor="text1"/>
              </w:rPr>
            </w:pPr>
            <w:r>
              <w:rPr>
                <w:color w:val="000000" w:themeColor="text1"/>
              </w:rPr>
              <w:t>As stipulated by Article 2, the Order comes into force on the day after the day on which it is made, except Article 25, Schedule 5 and paragraph 4 of Schedule 8, which come into force on the day after which the Order is made or immediately after IP completion day, whichever is later.</w:t>
            </w:r>
          </w:p>
        </w:tc>
      </w:tr>
      <w:tr w:rsidR="00301134"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301134"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301134"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301134"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B25F277" w:rsidR="00093CA9" w:rsidRDefault="00612D4B" w:rsidP="00093CA9">
            <w:r>
              <w:t>Legislature</w:t>
            </w:r>
          </w:p>
        </w:tc>
      </w:tr>
      <w:tr w:rsidR="00301134"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301134"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7228B9" w:rsidR="00093CA9" w:rsidRPr="006B7B0D" w:rsidRDefault="000F0F4B" w:rsidP="00093CA9">
            <w:r>
              <w:t xml:space="preserve">UK ETS authority, defined by Article 14 of the Order as ‘all of the national authorities’ </w:t>
            </w:r>
            <w:r w:rsidR="00D70242">
              <w:t>and comprising the UK, Scottish and Welsh Governments and Northern Ireland Department of Agricultural, Environment and Rural Affairs</w:t>
            </w:r>
            <w:r w:rsidR="0045186F">
              <w:t>.</w:t>
            </w:r>
          </w:p>
        </w:tc>
      </w:tr>
      <w:tr w:rsidR="00301134"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01134"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301134"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301134"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301134"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8E2FADF" w:rsidR="00093CA9" w:rsidRPr="006B7B0D" w:rsidRDefault="00016C44" w:rsidP="00093CA9">
            <w:r>
              <w:t>X</w:t>
            </w:r>
          </w:p>
        </w:tc>
      </w:tr>
      <w:tr w:rsidR="00301134"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301134"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F71335A" w:rsidR="00093CA9" w:rsidRPr="006B7B0D" w:rsidRDefault="00D70242" w:rsidP="00093CA9">
            <w:r>
              <w:t>England: Environment Agency (EA)</w:t>
            </w:r>
          </w:p>
        </w:tc>
      </w:tr>
      <w:tr w:rsidR="00301134"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01134"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301134"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301134"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301134"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3F1051" w:rsidR="00093CA9" w:rsidRPr="006B7B0D" w:rsidRDefault="00016C44" w:rsidP="00093CA9">
            <w:r>
              <w:t>X</w:t>
            </w:r>
          </w:p>
        </w:tc>
      </w:tr>
      <w:tr w:rsidR="00301134"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01134"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F1965E6" w:rsidR="00093CA9" w:rsidRPr="006B7B0D" w:rsidRDefault="00931401" w:rsidP="00093CA9">
            <w:r>
              <w:t xml:space="preserve">Wales: </w:t>
            </w:r>
            <w:r w:rsidR="00016C44">
              <w:t>Natural Resources Wales (NRW)</w:t>
            </w:r>
          </w:p>
        </w:tc>
      </w:tr>
      <w:tr w:rsidR="00301134"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01134"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301134"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301134"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301134"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09D38DD5" w:rsidR="00093CA9" w:rsidRPr="006B7B0D" w:rsidRDefault="00612D4B" w:rsidP="00093CA9">
            <w:r>
              <w:t>X</w:t>
            </w:r>
          </w:p>
        </w:tc>
      </w:tr>
      <w:tr w:rsidR="00301134"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301134"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046033B" w:rsidR="00093CA9" w:rsidRPr="006B7B0D" w:rsidRDefault="00931401" w:rsidP="00093CA9">
            <w:r>
              <w:t xml:space="preserve">Northern Ireland: </w:t>
            </w:r>
            <w:r w:rsidR="00016C44">
              <w:t>Northern Ireland Environment Agency (NIEA)</w:t>
            </w:r>
          </w:p>
        </w:tc>
      </w:tr>
      <w:tr w:rsidR="00301134"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01134"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301134"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301134"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301134"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0BD35698" w:rsidR="00093CA9" w:rsidRPr="006B7B0D" w:rsidRDefault="00016C44" w:rsidP="00093CA9">
            <w:r>
              <w:t>X</w:t>
            </w:r>
          </w:p>
        </w:tc>
      </w:tr>
      <w:tr w:rsidR="00301134"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301134"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2C376774" w:rsidR="00093CA9" w:rsidRPr="006B7B0D" w:rsidRDefault="00D70242" w:rsidP="00093CA9">
            <w:r>
              <w:t>Scotland: Scottish Environment Protection Agency (SEPA)</w:t>
            </w:r>
          </w:p>
        </w:tc>
      </w:tr>
      <w:tr w:rsidR="00301134"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301134"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301134"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301134"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301134"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57A502F6" w:rsidR="00093CA9" w:rsidRPr="006B7B0D" w:rsidRDefault="00016C44" w:rsidP="00093CA9">
            <w:r>
              <w:t>X</w:t>
            </w:r>
          </w:p>
        </w:tc>
      </w:tr>
      <w:tr w:rsidR="00301134"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301134"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3F4EC9D" w:rsidR="00093CA9" w:rsidRDefault="00093CA9" w:rsidP="00093CA9"/>
        </w:tc>
      </w:tr>
      <w:tr w:rsidR="00301134"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301134"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301134"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F1BCB85" w:rsidR="00093CA9" w:rsidRDefault="001170A9" w:rsidP="00093CA9">
            <w:r>
              <w:t>X</w:t>
            </w:r>
          </w:p>
        </w:tc>
      </w:tr>
      <w:tr w:rsidR="00301134"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301134"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5F722A6" w14:textId="27C72733" w:rsidR="005A1BAE" w:rsidRDefault="00C57312" w:rsidP="00AD254D">
            <w:pPr>
              <w:rPr>
                <w:color w:val="000000" w:themeColor="text1"/>
              </w:rPr>
            </w:pPr>
            <w:r>
              <w:rPr>
                <w:color w:val="000000" w:themeColor="text1"/>
              </w:rPr>
              <w:t>Part 6 of the Order sets out the regulator</w:t>
            </w:r>
            <w:r w:rsidR="00612D4B">
              <w:rPr>
                <w:color w:val="000000" w:themeColor="text1"/>
              </w:rPr>
              <w:t>’s</w:t>
            </w:r>
            <w:r>
              <w:rPr>
                <w:color w:val="000000" w:themeColor="text1"/>
              </w:rPr>
              <w:t xml:space="preserve"> powers to monitor compliance with the UK ETS. This includes the ability to carry out inspections of an </w:t>
            </w:r>
            <w:r w:rsidR="008C6E2B">
              <w:rPr>
                <w:color w:val="000000" w:themeColor="text1"/>
              </w:rPr>
              <w:t>entity’s</w:t>
            </w:r>
            <w:r>
              <w:rPr>
                <w:color w:val="000000" w:themeColor="text1"/>
              </w:rPr>
              <w:t xml:space="preserve"> property. </w:t>
            </w:r>
          </w:p>
          <w:p w14:paraId="5D0E27E6" w14:textId="58045EAE" w:rsidR="001471CB" w:rsidRDefault="008C6E2B" w:rsidP="009578A8">
            <w:pPr>
              <w:rPr>
                <w:color w:val="000000" w:themeColor="text1"/>
              </w:rPr>
            </w:pPr>
            <w:r>
              <w:rPr>
                <w:color w:val="000000" w:themeColor="text1"/>
              </w:rPr>
              <w:t>In-scope entities will also have to monitor their emissions under</w:t>
            </w:r>
            <w:r w:rsidR="00C57312">
              <w:rPr>
                <w:color w:val="000000" w:themeColor="text1"/>
              </w:rPr>
              <w:t xml:space="preserve"> monitoring plan</w:t>
            </w:r>
            <w:r>
              <w:rPr>
                <w:color w:val="000000" w:themeColor="text1"/>
              </w:rPr>
              <w:t>s</w:t>
            </w:r>
            <w:r w:rsidR="00C57312">
              <w:rPr>
                <w:color w:val="000000" w:themeColor="text1"/>
              </w:rPr>
              <w:t xml:space="preserve"> aligned </w:t>
            </w:r>
            <w:r>
              <w:rPr>
                <w:color w:val="000000" w:themeColor="text1"/>
              </w:rPr>
              <w:t>with</w:t>
            </w:r>
            <w:r w:rsidR="00C57312">
              <w:rPr>
                <w:color w:val="000000" w:themeColor="text1"/>
              </w:rPr>
              <w:t xml:space="preserve"> the requirements of the Monitoring and Reporting Regulations 2018 (as per paragraphs 2(g) and 4 of Schedule 6 to the Order). This includes the </w:t>
            </w:r>
            <w:r>
              <w:rPr>
                <w:color w:val="000000" w:themeColor="text1"/>
              </w:rPr>
              <w:t>publication</w:t>
            </w:r>
            <w:r w:rsidR="00C57312">
              <w:rPr>
                <w:color w:val="000000" w:themeColor="text1"/>
              </w:rPr>
              <w:t xml:space="preserve"> of an annual </w:t>
            </w:r>
            <w:r w:rsidR="001471CB">
              <w:rPr>
                <w:color w:val="000000" w:themeColor="text1"/>
              </w:rPr>
              <w:t>emissions rep</w:t>
            </w:r>
            <w:r w:rsidR="009578A8">
              <w:rPr>
                <w:color w:val="000000" w:themeColor="text1"/>
              </w:rPr>
              <w:t xml:space="preserve">ort. </w:t>
            </w:r>
          </w:p>
          <w:p w14:paraId="2C2128DB" w14:textId="4DA1635F" w:rsidR="009578A8" w:rsidRPr="008017F9" w:rsidRDefault="009578A8" w:rsidP="008C6E2B">
            <w:pPr>
              <w:rPr>
                <w:color w:val="000000" w:themeColor="text1"/>
              </w:rPr>
            </w:pPr>
            <w:r>
              <w:rPr>
                <w:color w:val="000000" w:themeColor="text1"/>
              </w:rPr>
              <w:t xml:space="preserve">Aircraft operators also have to apply for an emissions monitoring plan (see Part 4 of the Order) that outlines how an emissions are to be monitored by the regulator.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DFDCAFA"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E415441"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B4A33B1"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D3DE6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58ADE916"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5075D4C"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6930492"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1235EB0"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4F42CF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66E3EA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2E6644B7"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466F53A"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CDA7642"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12D4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96D0B" w:rsidRDefault="00107CE2" w:rsidP="00DD3144">
            <w:pPr>
              <w:rPr>
                <w:lang w:val="fr-FR"/>
              </w:rPr>
            </w:pPr>
            <w:r w:rsidRPr="00E96D0B">
              <w:rPr>
                <w:lang w:val="fr-FR"/>
              </w:rPr>
              <w:t>Minimum revenue (Enter minimum revenue)</w:t>
            </w:r>
          </w:p>
        </w:tc>
        <w:tc>
          <w:tcPr>
            <w:tcW w:w="4910" w:type="dxa"/>
            <w:gridSpan w:val="7"/>
            <w:shd w:val="clear" w:color="auto" w:fill="auto"/>
            <w:vAlign w:val="center"/>
          </w:tcPr>
          <w:p w14:paraId="2518BD70" w14:textId="77777777" w:rsidR="00524D54" w:rsidRPr="00E96D0B"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612D4B"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E96D0B" w:rsidRDefault="00B0479E" w:rsidP="00DD3144">
            <w:pPr>
              <w:rPr>
                <w:lang w:val="fr-FR"/>
              </w:rPr>
            </w:pPr>
            <w:r w:rsidRPr="00E96D0B">
              <w:rPr>
                <w:rFonts w:ascii="Calibri" w:hAnsi="Calibri" w:cs="Calibri"/>
                <w:lang w:val="fr-FR"/>
              </w:rPr>
              <w:t xml:space="preserve">Carbon </w:t>
            </w:r>
            <w:proofErr w:type="spellStart"/>
            <w:r w:rsidRPr="00E96D0B">
              <w:rPr>
                <w:rFonts w:ascii="Calibri" w:hAnsi="Calibri" w:cs="Calibri"/>
                <w:lang w:val="fr-FR"/>
              </w:rPr>
              <w:t>dioxide</w:t>
            </w:r>
            <w:proofErr w:type="spellEnd"/>
            <w:r w:rsidRPr="00E96D0B">
              <w:rPr>
                <w:rFonts w:ascii="Calibri" w:hAnsi="Calibri" w:cs="Calibri"/>
                <w:lang w:val="fr-FR"/>
              </w:rPr>
              <w:t xml:space="preserve"> </w:t>
            </w:r>
            <w:proofErr w:type="spellStart"/>
            <w:r w:rsidRPr="00E96D0B">
              <w:rPr>
                <w:rFonts w:ascii="Calibri" w:hAnsi="Calibri" w:cs="Calibri"/>
                <w:lang w:val="fr-FR"/>
              </w:rPr>
              <w:t>equivalent</w:t>
            </w:r>
            <w:proofErr w:type="spellEnd"/>
            <w:r w:rsidRPr="00E96D0B">
              <w:rPr>
                <w:rFonts w:ascii="Calibri" w:hAnsi="Calibri" w:cs="Calibri"/>
                <w:lang w:val="fr-FR"/>
              </w:rPr>
              <w:t xml:space="preserve"> (</w:t>
            </w:r>
            <w:proofErr w:type="spellStart"/>
            <w:r w:rsidRPr="00E96D0B">
              <w:rPr>
                <w:rFonts w:ascii="Calibri" w:hAnsi="Calibri" w:cs="Calibri"/>
                <w:lang w:val="fr-FR"/>
              </w:rPr>
              <w:t>CO₂e</w:t>
            </w:r>
            <w:proofErr w:type="spellEnd"/>
            <w:r w:rsidRPr="00E96D0B">
              <w:rPr>
                <w:rFonts w:ascii="Calibri" w:hAnsi="Calibri" w:cs="Calibri"/>
                <w:lang w:val="fr-FR"/>
              </w:rPr>
              <w:t xml:space="preserve">) </w:t>
            </w:r>
          </w:p>
        </w:tc>
        <w:tc>
          <w:tcPr>
            <w:tcW w:w="3330" w:type="dxa"/>
            <w:gridSpan w:val="2"/>
            <w:shd w:val="clear" w:color="auto" w:fill="auto"/>
            <w:vAlign w:val="center"/>
          </w:tcPr>
          <w:p w14:paraId="7C41530E" w14:textId="769FE26A" w:rsidR="00B0479E" w:rsidRPr="00E96D0B"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12D4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96D0B" w:rsidRDefault="004F276F" w:rsidP="00C37D48">
            <w:pPr>
              <w:rPr>
                <w:rFonts w:ascii="Calibri" w:hAnsi="Calibri" w:cs="Calibri"/>
                <w:lang w:val="fr-FR"/>
              </w:rPr>
            </w:pPr>
            <w:r w:rsidRPr="00E96D0B">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96D0B"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612D4B"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E96D0B" w:rsidRDefault="003A2E5E" w:rsidP="00C37D48">
            <w:pPr>
              <w:rPr>
                <w:rFonts w:ascii="Calibri" w:hAnsi="Calibri" w:cs="Calibri"/>
                <w:lang w:val="fr-FR"/>
              </w:rPr>
            </w:pPr>
            <w:r w:rsidRPr="00E96D0B">
              <w:rPr>
                <w:rFonts w:ascii="Calibri" w:hAnsi="Calibri" w:cs="Calibri"/>
                <w:lang w:val="fr-FR"/>
              </w:rPr>
              <w:t xml:space="preserve">Carbon </w:t>
            </w:r>
            <w:proofErr w:type="spellStart"/>
            <w:r w:rsidRPr="00E96D0B">
              <w:rPr>
                <w:rFonts w:ascii="Calibri" w:hAnsi="Calibri" w:cs="Calibri"/>
                <w:lang w:val="fr-FR"/>
              </w:rPr>
              <w:t>dioxide</w:t>
            </w:r>
            <w:proofErr w:type="spellEnd"/>
            <w:r w:rsidRPr="00E96D0B">
              <w:rPr>
                <w:rFonts w:ascii="Calibri" w:hAnsi="Calibri" w:cs="Calibri"/>
                <w:lang w:val="fr-FR"/>
              </w:rPr>
              <w:t xml:space="preserve"> </w:t>
            </w:r>
            <w:proofErr w:type="spellStart"/>
            <w:r w:rsidRPr="00E96D0B">
              <w:rPr>
                <w:rFonts w:ascii="Calibri" w:hAnsi="Calibri" w:cs="Calibri"/>
                <w:lang w:val="fr-FR"/>
              </w:rPr>
              <w:t>equivalent</w:t>
            </w:r>
            <w:proofErr w:type="spellEnd"/>
            <w:r w:rsidRPr="00E96D0B">
              <w:rPr>
                <w:rFonts w:ascii="Calibri" w:hAnsi="Calibri" w:cs="Calibri"/>
                <w:lang w:val="fr-FR"/>
              </w:rPr>
              <w:t xml:space="preserve"> (</w:t>
            </w:r>
            <w:proofErr w:type="spellStart"/>
            <w:r w:rsidRPr="00E96D0B">
              <w:rPr>
                <w:rFonts w:ascii="Calibri" w:hAnsi="Calibri" w:cs="Calibri"/>
                <w:lang w:val="fr-FR"/>
              </w:rPr>
              <w:t>CO₂e</w:t>
            </w:r>
            <w:proofErr w:type="spellEnd"/>
            <w:r w:rsidRPr="00E96D0B">
              <w:rPr>
                <w:rFonts w:ascii="Calibri" w:hAnsi="Calibri" w:cs="Calibri"/>
                <w:lang w:val="fr-FR"/>
              </w:rPr>
              <w:t>)  </w:t>
            </w:r>
          </w:p>
        </w:tc>
        <w:tc>
          <w:tcPr>
            <w:tcW w:w="5300" w:type="dxa"/>
            <w:gridSpan w:val="3"/>
            <w:shd w:val="clear" w:color="auto" w:fill="auto"/>
            <w:vAlign w:val="center"/>
          </w:tcPr>
          <w:p w14:paraId="4064936F" w14:textId="77777777" w:rsidR="003A2E5E" w:rsidRPr="00E96D0B"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2D4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96D0B" w:rsidRDefault="00C66EE0" w:rsidP="00610F28">
            <w:pPr>
              <w:rPr>
                <w:rFonts w:ascii="Calibri" w:hAnsi="Calibri" w:cs="Calibri"/>
                <w:lang w:val="fr-FR"/>
              </w:rPr>
            </w:pPr>
            <w:r w:rsidRPr="00E96D0B">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96D0B"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B26589D" w:rsidR="00D4323A" w:rsidRPr="009578A8"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06A78054" w:rsidR="00D4323A" w:rsidRPr="00CF2E7C" w:rsidRDefault="00882BA5"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9226BD4"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62F2C63E" w:rsidR="00D4323A" w:rsidRPr="00CF2E7C" w:rsidRDefault="00882BA5"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85B0FC1" w:rsidR="00D4323A" w:rsidRPr="00CF2E7C" w:rsidRDefault="007863CE"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688F9A53"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6AC2D6A" w:rsidR="00D4323A" w:rsidRPr="00CF2E7C" w:rsidRDefault="00882BA5"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8205B16" w:rsidR="00D4323A" w:rsidRPr="00154DB9"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656FCC5" w:rsidR="00D4323A" w:rsidRPr="00CF2E7C" w:rsidRDefault="00882BA5"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3C533B47" w:rsidR="00D4323A" w:rsidRPr="00154DB9" w:rsidRDefault="00D4323A" w:rsidP="00CF2E7C">
            <w:pPr>
              <w:rPr>
                <w:rFonts w:ascii="Calibri" w:hAnsi="Calibri" w:cs="Calibri"/>
                <w:color w:val="FF0000"/>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22BF36D" w:rsidR="00D4323A" w:rsidRPr="00CF2E7C" w:rsidRDefault="00882BA5"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1F15847" w:rsidR="00D4323A" w:rsidRPr="00CF2E7C" w:rsidRDefault="007863CE"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62D47841" w:rsidR="00D4323A" w:rsidRPr="00CF2E7C" w:rsidRDefault="007863CE"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C163500" w:rsidR="00D4323A" w:rsidRPr="00CF2E7C" w:rsidRDefault="007863CE"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4AFBFD3E" w:rsidR="00D4323A" w:rsidRPr="00CF2E7C" w:rsidRDefault="007863CE"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402F0EDD" w:rsidR="00D4323A" w:rsidRPr="00CF2E7C" w:rsidRDefault="007863CE"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191B5D52" w:rsidR="00D4323A" w:rsidRPr="00CF2E7C" w:rsidRDefault="001170A9"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882BA5" w:rsidRPr="00CF2E7C" w14:paraId="4C54267D" w14:textId="77777777" w:rsidTr="00CF2E7C">
        <w:trPr>
          <w:trHeight w:val="1020"/>
        </w:trPr>
        <w:tc>
          <w:tcPr>
            <w:tcW w:w="1065" w:type="dxa"/>
            <w:vAlign w:val="center"/>
          </w:tcPr>
          <w:p w14:paraId="4C5D07E3" w14:textId="77777777" w:rsidR="00882BA5" w:rsidRPr="00CF2E7C" w:rsidRDefault="00882BA5" w:rsidP="00882BA5">
            <w:pPr>
              <w:rPr>
                <w:rFonts w:ascii="Calibri" w:hAnsi="Calibri" w:cs="Calibri"/>
              </w:rPr>
            </w:pPr>
          </w:p>
        </w:tc>
        <w:tc>
          <w:tcPr>
            <w:tcW w:w="9375" w:type="dxa"/>
            <w:gridSpan w:val="7"/>
            <w:shd w:val="clear" w:color="auto" w:fill="auto"/>
            <w:vAlign w:val="center"/>
          </w:tcPr>
          <w:p w14:paraId="2804699B" w14:textId="5167F766" w:rsidR="00882BA5" w:rsidRPr="00882BA5" w:rsidRDefault="00882BA5" w:rsidP="00882BA5">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C8DEBE3"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6592F66" w:rsidR="00092534" w:rsidRPr="00CF2E7C" w:rsidRDefault="00730C51"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8E9C461" w:rsidR="00092534" w:rsidRPr="00CF2E7C" w:rsidRDefault="00730C51"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4D79E3F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E60E7C0" w:rsidR="00092534" w:rsidRPr="00CF2E7C" w:rsidRDefault="00882BA5"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350901D9"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3598BA9F"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C1B131E"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3F3C48F8"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567C482D" w:rsidR="00092534" w:rsidRPr="00CF2E7C" w:rsidRDefault="00730C51"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455EE31F"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43BF2F4"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AE45A8C"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557299E1"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88631AB"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3F2C3A4C"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1EC552E6"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309FA81"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00DBDC24" w:rsidR="00092534" w:rsidRPr="00FA4E98"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5C24F66"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0D990A2D"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4328238F"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5E907AA"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07D7FDB2"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042C4FBD"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41DF4DBF"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9A3F74" w14:textId="49A6D4BE" w:rsidR="00154DB9" w:rsidRDefault="00154DB9" w:rsidP="00882BA5">
            <w:pPr>
              <w:rPr>
                <w:rFonts w:ascii="Calibri" w:hAnsi="Calibri" w:cs="Calibri"/>
              </w:rPr>
            </w:pPr>
            <w:r w:rsidRPr="00154DB9">
              <w:rPr>
                <w:rFonts w:ascii="Calibri" w:hAnsi="Calibri" w:cs="Calibri"/>
              </w:rPr>
              <w:t>As noted below,</w:t>
            </w:r>
            <w:r w:rsidR="00882BA5">
              <w:rPr>
                <w:rFonts w:ascii="Calibri" w:hAnsi="Calibri" w:cs="Calibri"/>
              </w:rPr>
              <w:t xml:space="preserve"> entities are targeted where they carry out regulated activities as set out in Schedules 1 and 2 to the Order. Only the aviation sector is specifically targeted by the Order, whereas Schedule 2, by implication, targets the energy intensive industries and power generation sector. </w:t>
            </w:r>
            <w:r w:rsidRPr="00154DB9">
              <w:rPr>
                <w:rFonts w:ascii="Calibri" w:hAnsi="Calibri" w:cs="Calibri"/>
              </w:rPr>
              <w:t xml:space="preserve"> </w:t>
            </w:r>
          </w:p>
          <w:p w14:paraId="2AA07B55" w14:textId="1682D7B7" w:rsidR="000F2BBC" w:rsidRDefault="00FA4E98" w:rsidP="00CF2E7C">
            <w:pPr>
              <w:rPr>
                <w:rFonts w:ascii="Calibri" w:hAnsi="Calibri" w:cs="Calibri"/>
              </w:rPr>
            </w:pPr>
            <w:r>
              <w:rPr>
                <w:rFonts w:ascii="Calibri" w:hAnsi="Calibri" w:cs="Calibri"/>
              </w:rPr>
              <w:t>Duties</w:t>
            </w:r>
            <w:r w:rsidR="00CB1692" w:rsidRPr="00CB1692">
              <w:rPr>
                <w:rFonts w:ascii="Calibri" w:hAnsi="Calibri" w:cs="Calibri"/>
              </w:rPr>
              <w:t xml:space="preserve"> vary across targeted entities. </w:t>
            </w:r>
          </w:p>
          <w:p w14:paraId="5277B866" w14:textId="3197B560" w:rsidR="000F2BBC" w:rsidRDefault="00CB1692" w:rsidP="00CF2E7C">
            <w:pPr>
              <w:rPr>
                <w:rFonts w:ascii="Calibri" w:hAnsi="Calibri" w:cs="Calibri"/>
              </w:rPr>
            </w:pPr>
            <w:r w:rsidRPr="00CB1692">
              <w:rPr>
                <w:rFonts w:ascii="Calibri" w:hAnsi="Calibri" w:cs="Calibri"/>
              </w:rPr>
              <w:t xml:space="preserve">Aircraft operators </w:t>
            </w:r>
            <w:r w:rsidR="00AE27D2">
              <w:rPr>
                <w:rFonts w:ascii="Calibri" w:hAnsi="Calibri" w:cs="Calibri"/>
              </w:rPr>
              <w:t xml:space="preserve">are required to have </w:t>
            </w:r>
            <w:r w:rsidRPr="00CB1692">
              <w:rPr>
                <w:rFonts w:ascii="Calibri" w:hAnsi="Calibri" w:cs="Calibri"/>
              </w:rPr>
              <w:t>emissions monitoring plans rather than permits</w:t>
            </w:r>
            <w:r w:rsidR="00AE27D2">
              <w:rPr>
                <w:rFonts w:ascii="Calibri" w:hAnsi="Calibri" w:cs="Calibri"/>
              </w:rPr>
              <w:t xml:space="preserve"> (</w:t>
            </w:r>
            <w:r w:rsidR="00F2408E">
              <w:rPr>
                <w:rFonts w:ascii="Calibri" w:hAnsi="Calibri" w:cs="Calibri"/>
              </w:rPr>
              <w:t>Part 4 of the Order</w:t>
            </w:r>
            <w:r w:rsidR="00AE27D2">
              <w:rPr>
                <w:rFonts w:ascii="Calibri" w:hAnsi="Calibri" w:cs="Calibri"/>
              </w:rPr>
              <w:t>)</w:t>
            </w:r>
            <w:r w:rsidRPr="00CB1692">
              <w:rPr>
                <w:rFonts w:ascii="Calibri" w:hAnsi="Calibri" w:cs="Calibri"/>
              </w:rPr>
              <w:t xml:space="preserve"> and have specific surrender requirements</w:t>
            </w:r>
            <w:r w:rsidR="00AE27D2">
              <w:rPr>
                <w:rFonts w:ascii="Calibri" w:hAnsi="Calibri" w:cs="Calibri"/>
              </w:rPr>
              <w:t xml:space="preserve"> (Article 34 of the Order)</w:t>
            </w:r>
            <w:r w:rsidRPr="00CB1692">
              <w:rPr>
                <w:rFonts w:ascii="Calibri" w:hAnsi="Calibri" w:cs="Calibri"/>
              </w:rPr>
              <w:t xml:space="preserve">. </w:t>
            </w:r>
          </w:p>
          <w:p w14:paraId="13FEC26E" w14:textId="77777777" w:rsidR="00FE3BF5" w:rsidRDefault="00CB1692" w:rsidP="00CF2E7C">
            <w:pPr>
              <w:rPr>
                <w:rFonts w:ascii="Calibri" w:hAnsi="Calibri" w:cs="Calibri"/>
              </w:rPr>
            </w:pPr>
            <w:r w:rsidRPr="00CB1692">
              <w:rPr>
                <w:rFonts w:ascii="Calibri" w:hAnsi="Calibri" w:cs="Calibri"/>
              </w:rPr>
              <w:t>Installation operators have three tiers of obligation</w:t>
            </w:r>
            <w:r w:rsidR="000F2BBC">
              <w:rPr>
                <w:rFonts w:ascii="Calibri" w:hAnsi="Calibri" w:cs="Calibri"/>
              </w:rPr>
              <w:t xml:space="preserve">s. </w:t>
            </w:r>
          </w:p>
          <w:p w14:paraId="30130CA4" w14:textId="77777777" w:rsidR="004B3399" w:rsidRDefault="000F2BBC" w:rsidP="004B3399">
            <w:pPr>
              <w:pStyle w:val="ListParagraph"/>
              <w:numPr>
                <w:ilvl w:val="0"/>
                <w:numId w:val="49"/>
              </w:numPr>
              <w:rPr>
                <w:rFonts w:ascii="Calibri" w:hAnsi="Calibri" w:cs="Calibri"/>
              </w:rPr>
            </w:pPr>
            <w:r w:rsidRPr="004B3399">
              <w:rPr>
                <w:rFonts w:ascii="Calibri" w:hAnsi="Calibri" w:cs="Calibri"/>
              </w:rPr>
              <w:t>S</w:t>
            </w:r>
            <w:r w:rsidR="00CB1692" w:rsidRPr="004B3399">
              <w:rPr>
                <w:rFonts w:ascii="Calibri" w:hAnsi="Calibri" w:cs="Calibri"/>
              </w:rPr>
              <w:t xml:space="preserve">tandard operators </w:t>
            </w:r>
            <w:r w:rsidR="00F2408E" w:rsidRPr="004B3399">
              <w:rPr>
                <w:rFonts w:ascii="Calibri" w:hAnsi="Calibri" w:cs="Calibri"/>
              </w:rPr>
              <w:t>(Schedule 6 Part 1 of the Order) must hold</w:t>
            </w:r>
            <w:r w:rsidR="00CB1692" w:rsidRPr="004B3399">
              <w:rPr>
                <w:rFonts w:ascii="Calibri" w:hAnsi="Calibri" w:cs="Calibri"/>
              </w:rPr>
              <w:t xml:space="preserve"> permits and must surrender allowances</w:t>
            </w:r>
            <w:r w:rsidR="00F2408E" w:rsidRPr="004B3399">
              <w:rPr>
                <w:rFonts w:ascii="Calibri" w:hAnsi="Calibri" w:cs="Calibri"/>
              </w:rPr>
              <w:t xml:space="preserve"> equal to reportable emissions</w:t>
            </w:r>
            <w:r w:rsidRPr="004B3399">
              <w:rPr>
                <w:rFonts w:ascii="Calibri" w:hAnsi="Calibri" w:cs="Calibri"/>
              </w:rPr>
              <w:t>.</w:t>
            </w:r>
          </w:p>
          <w:p w14:paraId="266BCD41" w14:textId="77777777" w:rsidR="004B3399" w:rsidRDefault="000F2BBC" w:rsidP="004B3399">
            <w:pPr>
              <w:pStyle w:val="ListParagraph"/>
              <w:numPr>
                <w:ilvl w:val="0"/>
                <w:numId w:val="49"/>
              </w:numPr>
              <w:rPr>
                <w:rFonts w:ascii="Calibri" w:hAnsi="Calibri" w:cs="Calibri"/>
              </w:rPr>
            </w:pPr>
            <w:r w:rsidRPr="004B3399">
              <w:rPr>
                <w:rFonts w:ascii="Calibri" w:hAnsi="Calibri" w:cs="Calibri"/>
              </w:rPr>
              <w:lastRenderedPageBreak/>
              <w:t>H</w:t>
            </w:r>
            <w:r w:rsidR="00CB1692" w:rsidRPr="004B3399">
              <w:rPr>
                <w:rFonts w:ascii="Calibri" w:hAnsi="Calibri" w:cs="Calibri"/>
              </w:rPr>
              <w:t xml:space="preserve">ospital and small emitters </w:t>
            </w:r>
            <w:r w:rsidR="00F2408E" w:rsidRPr="004B3399">
              <w:rPr>
                <w:rFonts w:ascii="Calibri" w:hAnsi="Calibri" w:cs="Calibri"/>
              </w:rPr>
              <w:t>(Schedule 6 Part 2</w:t>
            </w:r>
            <w:r w:rsidR="002805A6" w:rsidRPr="004B3399">
              <w:rPr>
                <w:rFonts w:ascii="Calibri" w:hAnsi="Calibri" w:cs="Calibri"/>
              </w:rPr>
              <w:t xml:space="preserve"> &amp; </w:t>
            </w:r>
            <w:r w:rsidR="002329CD" w:rsidRPr="004B3399">
              <w:rPr>
                <w:rFonts w:ascii="Calibri" w:hAnsi="Calibri" w:cs="Calibri"/>
              </w:rPr>
              <w:t>Schedule 7</w:t>
            </w:r>
            <w:r w:rsidR="00F2408E" w:rsidRPr="004B3399">
              <w:rPr>
                <w:rFonts w:ascii="Calibri" w:hAnsi="Calibri" w:cs="Calibri"/>
              </w:rPr>
              <w:t xml:space="preserve"> of the Order</w:t>
            </w:r>
            <w:r w:rsidR="002805A6" w:rsidRPr="004B3399">
              <w:rPr>
                <w:rFonts w:ascii="Calibri" w:hAnsi="Calibri" w:cs="Calibri"/>
              </w:rPr>
              <w:t xml:space="preserve"> and Section 3 of the Guidance</w:t>
            </w:r>
            <w:r w:rsidR="00F2408E" w:rsidRPr="004B3399">
              <w:rPr>
                <w:rFonts w:ascii="Calibri" w:hAnsi="Calibri" w:cs="Calibri"/>
              </w:rPr>
              <w:t xml:space="preserve">) </w:t>
            </w:r>
            <w:r w:rsidR="00CB1692" w:rsidRPr="004B3399">
              <w:rPr>
                <w:rFonts w:ascii="Calibri" w:hAnsi="Calibri" w:cs="Calibri"/>
              </w:rPr>
              <w:t xml:space="preserve">have specific emissions targets and banking </w:t>
            </w:r>
            <w:r w:rsidR="002329CD" w:rsidRPr="004B3399">
              <w:rPr>
                <w:rFonts w:ascii="Calibri" w:hAnsi="Calibri" w:cs="Calibri"/>
              </w:rPr>
              <w:t xml:space="preserve">of targets </w:t>
            </w:r>
            <w:r w:rsidR="00CB1692" w:rsidRPr="004B3399">
              <w:rPr>
                <w:rFonts w:ascii="Calibri" w:hAnsi="Calibri" w:cs="Calibri"/>
              </w:rPr>
              <w:t>provisions</w:t>
            </w:r>
          </w:p>
          <w:p w14:paraId="77562D6B" w14:textId="0B11014E" w:rsidR="000F2BBC" w:rsidRPr="004B3399" w:rsidRDefault="000F2BBC" w:rsidP="004B3399">
            <w:pPr>
              <w:pStyle w:val="ListParagraph"/>
              <w:numPr>
                <w:ilvl w:val="0"/>
                <w:numId w:val="49"/>
              </w:numPr>
              <w:rPr>
                <w:rFonts w:ascii="Calibri" w:hAnsi="Calibri" w:cs="Calibri"/>
              </w:rPr>
            </w:pPr>
            <w:r w:rsidRPr="004B3399">
              <w:rPr>
                <w:rFonts w:ascii="Calibri" w:hAnsi="Calibri" w:cs="Calibri"/>
              </w:rPr>
              <w:t>U</w:t>
            </w:r>
            <w:r w:rsidR="00CB1692" w:rsidRPr="004B3399">
              <w:rPr>
                <w:rFonts w:ascii="Calibri" w:hAnsi="Calibri" w:cs="Calibri"/>
              </w:rPr>
              <w:t xml:space="preserve">ltra-small emitters </w:t>
            </w:r>
            <w:r w:rsidR="00F2408E" w:rsidRPr="004B3399">
              <w:rPr>
                <w:rFonts w:ascii="Calibri" w:hAnsi="Calibri" w:cs="Calibri"/>
              </w:rPr>
              <w:t xml:space="preserve">(Schedule </w:t>
            </w:r>
            <w:r w:rsidR="002805A6" w:rsidRPr="004B3399">
              <w:rPr>
                <w:rFonts w:ascii="Calibri" w:hAnsi="Calibri" w:cs="Calibri"/>
              </w:rPr>
              <w:t>8</w:t>
            </w:r>
            <w:r w:rsidR="00F2408E" w:rsidRPr="004B3399">
              <w:rPr>
                <w:rFonts w:ascii="Calibri" w:hAnsi="Calibri" w:cs="Calibri"/>
              </w:rPr>
              <w:t xml:space="preserve"> of the Order</w:t>
            </w:r>
            <w:r w:rsidR="002805A6" w:rsidRPr="004B3399">
              <w:rPr>
                <w:rFonts w:ascii="Calibri" w:hAnsi="Calibri" w:cs="Calibri"/>
              </w:rPr>
              <w:t xml:space="preserve"> and Section 3 of the Guidance</w:t>
            </w:r>
            <w:r w:rsidR="00F2408E" w:rsidRPr="004B3399">
              <w:rPr>
                <w:rFonts w:ascii="Calibri" w:hAnsi="Calibri" w:cs="Calibri"/>
              </w:rPr>
              <w:t xml:space="preserve">) </w:t>
            </w:r>
            <w:r w:rsidR="00CB1692" w:rsidRPr="004B3399">
              <w:rPr>
                <w:rFonts w:ascii="Calibri" w:hAnsi="Calibri" w:cs="Calibri"/>
              </w:rPr>
              <w:t>have modified monitoring and verification requirements</w:t>
            </w:r>
            <w:r w:rsidRPr="004B3399">
              <w:rPr>
                <w:rFonts w:ascii="Calibri" w:hAnsi="Calibri" w:cs="Calibri"/>
              </w:rPr>
              <w:t xml:space="preserve">; they do not need permits but must monitor emissions. </w:t>
            </w:r>
          </w:p>
          <w:p w14:paraId="2894CDCA" w14:textId="41A20749" w:rsidR="002805A6" w:rsidRPr="00CF2E7C" w:rsidRDefault="002805A6" w:rsidP="00FE3BF5">
            <w:pPr>
              <w:rPr>
                <w:rFonts w:ascii="Calibri" w:hAnsi="Calibri" w:cs="Calibri"/>
              </w:rPr>
            </w:pPr>
            <w:r>
              <w:rPr>
                <w:rFonts w:ascii="Calibri" w:hAnsi="Calibri" w:cs="Calibri"/>
              </w:rPr>
              <w:t xml:space="preserve">Emissions targets are found at </w:t>
            </w:r>
            <w:r w:rsidR="004B3399">
              <w:rPr>
                <w:rFonts w:ascii="Calibri" w:hAnsi="Calibri" w:cs="Calibri"/>
              </w:rPr>
              <w:t xml:space="preserve">Part 4 of </w:t>
            </w:r>
            <w:r>
              <w:rPr>
                <w:rFonts w:ascii="Calibri" w:hAnsi="Calibri" w:cs="Calibri"/>
              </w:rPr>
              <w:t xml:space="preserve">Schedule 7 </w:t>
            </w:r>
            <w:r w:rsidR="004B3399">
              <w:rPr>
                <w:rFonts w:ascii="Calibri" w:hAnsi="Calibri" w:cs="Calibri"/>
              </w:rPr>
              <w:t>to</w:t>
            </w:r>
            <w:r>
              <w:rPr>
                <w:rFonts w:ascii="Calibri" w:hAnsi="Calibri" w:cs="Calibri"/>
              </w:rPr>
              <w:t xml:space="preserve"> the Order.</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12D4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E96D0B" w:rsidRDefault="00092534" w:rsidP="00CF2E7C">
            <w:pPr>
              <w:rPr>
                <w:rFonts w:ascii="Calibri" w:hAnsi="Calibri" w:cs="Calibri"/>
                <w:lang w:val="fr-FR"/>
              </w:rPr>
            </w:pPr>
            <w:r w:rsidRPr="00E96D0B">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96D0B"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6007E89" w14:textId="57BC86E1" w:rsidR="000F2BBC" w:rsidRDefault="00AF034E" w:rsidP="004B3399">
            <w:pPr>
              <w:rPr>
                <w:rFonts w:ascii="Calibri" w:hAnsi="Calibri" w:cs="Calibri"/>
              </w:rPr>
            </w:pPr>
            <w:r>
              <w:rPr>
                <w:rFonts w:ascii="Calibri" w:hAnsi="Calibri" w:cs="Calibri"/>
              </w:rPr>
              <w:t>Per Sections 2 and 3 of the Guidance and Schedules 1 and 2 of the Order</w:t>
            </w:r>
            <w:r w:rsidR="004B3399">
              <w:rPr>
                <w:rFonts w:ascii="Calibri" w:hAnsi="Calibri" w:cs="Calibri"/>
              </w:rPr>
              <w:t>, t</w:t>
            </w:r>
            <w:r w:rsidR="00CB1692" w:rsidRPr="00CB1692">
              <w:rPr>
                <w:rFonts w:ascii="Calibri" w:hAnsi="Calibri" w:cs="Calibri"/>
              </w:rPr>
              <w:t xml:space="preserve">he threshold criteria are based on emissions levels and thermal input rather than traditional corporate metrics. </w:t>
            </w:r>
          </w:p>
          <w:p w14:paraId="1ADA9C69" w14:textId="2E0FFC08" w:rsidR="000F2BBC" w:rsidRPr="000F2BBC" w:rsidRDefault="000F2BBC" w:rsidP="000F2BBC">
            <w:pPr>
              <w:rPr>
                <w:rFonts w:ascii="Calibri" w:hAnsi="Calibri" w:cs="Calibri"/>
              </w:rPr>
            </w:pPr>
            <w:r w:rsidRPr="000F2BBC">
              <w:rPr>
                <w:rFonts w:ascii="Calibri" w:hAnsi="Calibri" w:cs="Calibri"/>
              </w:rPr>
              <w:t xml:space="preserve">Installations: </w:t>
            </w:r>
            <w:r w:rsidR="00715C5A">
              <w:rPr>
                <w:rFonts w:ascii="Calibri" w:hAnsi="Calibri" w:cs="Calibri"/>
              </w:rPr>
              <w:t xml:space="preserve">these are stationary technical units that carry out a regulated activity. This is defined by reference to Table C in Schedule 2 to the Order. </w:t>
            </w:r>
          </w:p>
          <w:p w14:paraId="4FAF30D3" w14:textId="77777777" w:rsidR="000F2BBC" w:rsidRPr="000F2BBC" w:rsidRDefault="000F2BBC" w:rsidP="000F2BBC">
            <w:pPr>
              <w:rPr>
                <w:rFonts w:ascii="Calibri" w:hAnsi="Calibri" w:cs="Calibri"/>
              </w:rPr>
            </w:pPr>
            <w:r w:rsidRPr="000F2BBC">
              <w:rPr>
                <w:rFonts w:ascii="Calibri" w:hAnsi="Calibri" w:cs="Calibri"/>
              </w:rPr>
              <w:t>Small emitters: below 25,000t CO2e per annum and thermal capacity below 35MW</w:t>
            </w:r>
          </w:p>
          <w:p w14:paraId="0EF0EFD6" w14:textId="77777777" w:rsidR="000F2BBC" w:rsidRPr="000F2BBC" w:rsidRDefault="000F2BBC" w:rsidP="000F2BBC">
            <w:pPr>
              <w:rPr>
                <w:rFonts w:ascii="Calibri" w:hAnsi="Calibri" w:cs="Calibri"/>
              </w:rPr>
            </w:pPr>
            <w:r w:rsidRPr="000F2BBC">
              <w:rPr>
                <w:rFonts w:ascii="Calibri" w:hAnsi="Calibri" w:cs="Calibri"/>
              </w:rPr>
              <w:t>Ultra-small emitters: below 2,500t CO2e per annum</w:t>
            </w:r>
          </w:p>
          <w:p w14:paraId="2C814679" w14:textId="4C2DAEC5" w:rsidR="000F2BBC" w:rsidRDefault="000F2BBC" w:rsidP="000F2BBC">
            <w:pPr>
              <w:rPr>
                <w:rFonts w:ascii="Calibri" w:hAnsi="Calibri" w:cs="Calibri"/>
              </w:rPr>
            </w:pPr>
            <w:r w:rsidRPr="000F2BBC">
              <w:rPr>
                <w:rFonts w:ascii="Calibri" w:hAnsi="Calibri" w:cs="Calibri"/>
              </w:rPr>
              <w:t>Aviation: operators of UK domestic flights, UK-Gibraltar flights, and UK to EEA flights</w:t>
            </w:r>
            <w:r w:rsidR="00CB1692" w:rsidRPr="00CB1692">
              <w:rPr>
                <w:rFonts w:ascii="Calibri" w:hAnsi="Calibri" w:cs="Calibri"/>
              </w:rPr>
              <w:t xml:space="preserve"> </w:t>
            </w:r>
          </w:p>
          <w:p w14:paraId="3B9810F8" w14:textId="4C030FC8" w:rsidR="00092534" w:rsidRPr="00CF2E7C" w:rsidRDefault="00CB1692" w:rsidP="00CF2E7C">
            <w:pPr>
              <w:rPr>
                <w:rFonts w:ascii="Calibri" w:hAnsi="Calibri" w:cs="Calibri"/>
              </w:rPr>
            </w:pPr>
            <w:r w:rsidRPr="00CB1692">
              <w:rPr>
                <w:rFonts w:ascii="Calibri" w:hAnsi="Calibri" w:cs="Calibri"/>
              </w:rPr>
              <w:t>No minimum employee numbers, revenue, assets or contract values are specified</w:t>
            </w:r>
            <w:r>
              <w:rPr>
                <w:rFonts w:ascii="Calibri" w:hAnsi="Calibri" w:cs="Calibri"/>
              </w:rP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FB38F72"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lastRenderedPageBreak/>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9AA2753" w:rsidR="00092534" w:rsidRPr="00CF2E7C" w:rsidRDefault="00921C1B"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813EDE" w14:textId="4A8A7B6B" w:rsidR="00761FFF" w:rsidRDefault="00761FFF" w:rsidP="00761FFF">
            <w:pPr>
              <w:rPr>
                <w:rFonts w:ascii="Calibri" w:hAnsi="Calibri" w:cs="Calibri"/>
              </w:rPr>
            </w:pPr>
            <w:r>
              <w:rPr>
                <w:rFonts w:ascii="Calibri" w:hAnsi="Calibri" w:cs="Calibri"/>
              </w:rPr>
              <w:t xml:space="preserve">Per Section 3 of the Guidance issued by the Department for Energy Security &amp; Net Zero, there are a number of </w:t>
            </w:r>
            <w:r w:rsidR="004B3399">
              <w:rPr>
                <w:rFonts w:ascii="Calibri" w:hAnsi="Calibri" w:cs="Calibri"/>
              </w:rPr>
              <w:t>si</w:t>
            </w:r>
            <w:r>
              <w:rPr>
                <w:rFonts w:ascii="Calibri" w:hAnsi="Calibri" w:cs="Calibri"/>
              </w:rPr>
              <w:t>mplified provisions for hospitals, small emitters and ultra-small emitters.</w:t>
            </w:r>
          </w:p>
          <w:p w14:paraId="22B40E63" w14:textId="77777777" w:rsidR="00092534" w:rsidRDefault="00761FFF" w:rsidP="00761FFF">
            <w:pPr>
              <w:rPr>
                <w:rFonts w:ascii="Calibri" w:hAnsi="Calibri" w:cs="Calibri"/>
              </w:rPr>
            </w:pPr>
            <w:r w:rsidRPr="00761FFF">
              <w:rPr>
                <w:rFonts w:ascii="Calibri" w:hAnsi="Calibri" w:cs="Calibri"/>
              </w:rPr>
              <w:t>Hospitals and Small Emitters (emissions below 25,000t CO2e annually) can apply for HSE status to be subject to emissions targets instead of allowance surrender obligations. Ultra-small Emitters (below 2,500t CO2e annually) can apply for USE status to be exempt from permit requirements while still monitoring emissions.</w:t>
            </w:r>
            <w:r>
              <w:rPr>
                <w:rFonts w:ascii="Calibri" w:hAnsi="Calibri" w:cs="Calibri"/>
              </w:rPr>
              <w:t xml:space="preserve"> </w:t>
            </w:r>
          </w:p>
          <w:p w14:paraId="15F1E6AC" w14:textId="286531B7" w:rsidR="00C37FAC" w:rsidRPr="00CF2E7C" w:rsidRDefault="00C37FAC" w:rsidP="00761FFF">
            <w:pPr>
              <w:rPr>
                <w:rFonts w:ascii="Calibri" w:hAnsi="Calibri" w:cs="Calibri"/>
              </w:rPr>
            </w:pPr>
            <w:r>
              <w:rPr>
                <w:rFonts w:ascii="Calibri" w:hAnsi="Calibri" w:cs="Calibri"/>
              </w:rPr>
              <w:t xml:space="preserve">These simplified provisions are subject to eligibility requirements. Applicants must (per Section 9 of the Guidance) apply for this status within the data collection window. </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A192B0C" w:rsidR="00DB1E72" w:rsidRPr="00CF2E7C" w:rsidRDefault="00CB1692"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6F6ECF4D" w:rsidR="00DB1E72" w:rsidRPr="00CF2E7C" w:rsidRDefault="00F946D5"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1FA88204" w:rsidR="00DB1E72" w:rsidRPr="00CF2E7C" w:rsidRDefault="00CB1692" w:rsidP="00CF2E7C">
            <w:pPr>
              <w:rPr>
                <w:rFonts w:ascii="Calibri" w:hAnsi="Calibri" w:cs="Calibri"/>
              </w:rPr>
            </w:pPr>
            <w:r>
              <w:rPr>
                <w:rFonts w:ascii="Calibri" w:hAnsi="Calibri" w:cs="Calibri"/>
              </w:rPr>
              <w:t>Publication of non-compliance</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9EB1E4F" w14:textId="77777777" w:rsidR="004B3399" w:rsidRDefault="00E80BFA" w:rsidP="005F7127">
            <w:pPr>
              <w:rPr>
                <w:rFonts w:ascii="Calibri" w:hAnsi="Calibri" w:cs="Calibri"/>
              </w:rPr>
            </w:pPr>
            <w:r w:rsidRPr="00E80BFA">
              <w:rPr>
                <w:rFonts w:ascii="Calibri" w:hAnsi="Calibri" w:cs="Calibri"/>
              </w:rPr>
              <w:t>Part 7</w:t>
            </w:r>
            <w:r>
              <w:rPr>
                <w:rFonts w:ascii="Calibri" w:hAnsi="Calibri" w:cs="Calibri"/>
              </w:rPr>
              <w:t xml:space="preserve"> Chapter 2 of the Order outlines the civil penalties</w:t>
            </w:r>
            <w:r w:rsidR="004B3399">
              <w:rPr>
                <w:rFonts w:ascii="Calibri" w:hAnsi="Calibri" w:cs="Calibri"/>
              </w:rPr>
              <w:t xml:space="preserve"> for non-compliance</w:t>
            </w:r>
            <w:r>
              <w:rPr>
                <w:rFonts w:ascii="Calibri" w:hAnsi="Calibri" w:cs="Calibri"/>
              </w:rPr>
              <w:t>.</w:t>
            </w:r>
            <w:r w:rsidR="00F946D5">
              <w:rPr>
                <w:rFonts w:ascii="Calibri" w:hAnsi="Calibri" w:cs="Calibri"/>
              </w:rPr>
              <w:t xml:space="preserve"> </w:t>
            </w:r>
          </w:p>
          <w:p w14:paraId="163B56DF" w14:textId="73A3B1DB" w:rsidR="00732A4B" w:rsidRPr="005F7127" w:rsidRDefault="00F946D5" w:rsidP="005F7127">
            <w:pPr>
              <w:rPr>
                <w:rFonts w:ascii="Calibri" w:hAnsi="Calibri" w:cs="Calibri"/>
                <w:b/>
                <w:bCs/>
              </w:rPr>
            </w:pPr>
            <w:r>
              <w:rPr>
                <w:rFonts w:ascii="Calibri" w:hAnsi="Calibri" w:cs="Calibri"/>
              </w:rPr>
              <w:t xml:space="preserve">Article 40(4) also introduces a criminal offence for failing to comply with a requirement for inspection. Being found guilty of this offence leads to a fine. </w:t>
            </w:r>
          </w:p>
          <w:p w14:paraId="70DBEDA9" w14:textId="77383514" w:rsidR="00732A4B" w:rsidRDefault="00E80BFA" w:rsidP="00CF2E7C">
            <w:pPr>
              <w:rPr>
                <w:rFonts w:ascii="Calibri" w:hAnsi="Calibri" w:cs="Calibri"/>
              </w:rPr>
            </w:pPr>
            <w:r>
              <w:rPr>
                <w:rFonts w:ascii="Calibri" w:hAnsi="Calibri" w:cs="Calibri"/>
              </w:rPr>
              <w:t>Penalty notices</w:t>
            </w:r>
            <w:r w:rsidR="00773E4B">
              <w:rPr>
                <w:rFonts w:ascii="Calibri" w:hAnsi="Calibri" w:cs="Calibri"/>
              </w:rPr>
              <w:t xml:space="preserve"> (articles 47 and 48)</w:t>
            </w:r>
            <w:r>
              <w:rPr>
                <w:rFonts w:ascii="Calibri" w:hAnsi="Calibri" w:cs="Calibri"/>
              </w:rPr>
              <w:t xml:space="preserve"> are imposed “</w:t>
            </w:r>
            <w:r w:rsidRPr="004B3399">
              <w:rPr>
                <w:rFonts w:ascii="Calibri" w:hAnsi="Calibri" w:cs="Calibri"/>
                <w:i/>
                <w:iCs/>
              </w:rPr>
              <w:t>Where the regulator considers that a person is liable to a civil penalty under any of</w:t>
            </w:r>
            <w:r w:rsidR="00732A4B" w:rsidRPr="004B3399">
              <w:rPr>
                <w:rFonts w:ascii="Calibri" w:hAnsi="Calibri" w:cs="Calibri"/>
                <w:i/>
                <w:iCs/>
              </w:rPr>
              <w:t xml:space="preserve"> </w:t>
            </w:r>
            <w:r w:rsidRPr="004B3399">
              <w:rPr>
                <w:rFonts w:ascii="Calibri" w:hAnsi="Calibri" w:cs="Calibri"/>
                <w:i/>
                <w:iCs/>
              </w:rPr>
              <w:t>articles 50 to 68</w:t>
            </w:r>
            <w:r>
              <w:rPr>
                <w:rFonts w:ascii="Calibri" w:hAnsi="Calibri" w:cs="Calibri"/>
              </w:rPr>
              <w:t xml:space="preserve">”. </w:t>
            </w:r>
          </w:p>
          <w:p w14:paraId="72302A13" w14:textId="17D23974" w:rsidR="00732A4B" w:rsidRDefault="00732A4B" w:rsidP="00732A4B">
            <w:pPr>
              <w:rPr>
                <w:rFonts w:ascii="Calibri" w:hAnsi="Calibri" w:cs="Calibri"/>
              </w:rPr>
            </w:pPr>
            <w:r>
              <w:rPr>
                <w:rFonts w:ascii="Calibri" w:hAnsi="Calibri" w:cs="Calibri"/>
              </w:rPr>
              <w:t>Where a regulated activity is carried out without a permit</w:t>
            </w:r>
            <w:r w:rsidR="005F68FD">
              <w:rPr>
                <w:rFonts w:ascii="Calibri" w:hAnsi="Calibri" w:cs="Calibri"/>
              </w:rPr>
              <w:t xml:space="preserve"> (article 50)</w:t>
            </w:r>
            <w:r>
              <w:rPr>
                <w:rFonts w:ascii="Calibri" w:hAnsi="Calibri" w:cs="Calibri"/>
              </w:rPr>
              <w:t xml:space="preserve">, contrary to article 26, the operator is liable to a civil penalty, calculated as </w:t>
            </w:r>
            <w:r w:rsidRPr="00732A4B">
              <w:rPr>
                <w:rFonts w:ascii="Calibri" w:hAnsi="Calibri" w:cs="Calibri"/>
              </w:rPr>
              <w:t xml:space="preserve">CA + (RE x CP), where CA is costs avoided, </w:t>
            </w:r>
            <w:r w:rsidRPr="00732A4B">
              <w:rPr>
                <w:rFonts w:ascii="Calibri" w:hAnsi="Calibri" w:cs="Calibri"/>
              </w:rPr>
              <w:lastRenderedPageBreak/>
              <w:t>RE is reportable emissions, and CP is the carbon price</w:t>
            </w:r>
            <w:r>
              <w:rPr>
                <w:rFonts w:ascii="Calibri" w:hAnsi="Calibri" w:cs="Calibri"/>
              </w:rPr>
              <w:t>. Carbon price is calculated with reference to article 46.</w:t>
            </w:r>
          </w:p>
          <w:p w14:paraId="69EE05AD" w14:textId="707A4E4D" w:rsidR="00E80BFA" w:rsidRDefault="00732A4B" w:rsidP="00732A4B">
            <w:pPr>
              <w:rPr>
                <w:rFonts w:ascii="Calibri" w:hAnsi="Calibri" w:cs="Calibri"/>
              </w:rPr>
            </w:pPr>
            <w:r>
              <w:rPr>
                <w:rFonts w:ascii="Calibri" w:hAnsi="Calibri" w:cs="Calibri"/>
              </w:rPr>
              <w:t xml:space="preserve">Failure to comply with conditions of the permit </w:t>
            </w:r>
            <w:r w:rsidR="005F68FD">
              <w:rPr>
                <w:rFonts w:ascii="Calibri" w:hAnsi="Calibri" w:cs="Calibri"/>
              </w:rPr>
              <w:t xml:space="preserve">(article 51) </w:t>
            </w:r>
            <w:r>
              <w:rPr>
                <w:rFonts w:ascii="Calibri" w:hAnsi="Calibri" w:cs="Calibri"/>
              </w:rPr>
              <w:t>renders the operator liable to a penalty of £20,000 plus a daily penalty of £500 for each day that the operator fails to comply with the condition or requirement, beginning with the day notice is given, up to a maximum of £45,000.</w:t>
            </w:r>
          </w:p>
          <w:p w14:paraId="2B161EBA" w14:textId="5DAEB919" w:rsidR="00732A4B" w:rsidRDefault="00732A4B" w:rsidP="00732A4B">
            <w:pPr>
              <w:rPr>
                <w:rFonts w:ascii="Calibri" w:hAnsi="Calibri" w:cs="Calibri"/>
              </w:rPr>
            </w:pPr>
            <w:r>
              <w:rPr>
                <w:rFonts w:ascii="Calibri" w:hAnsi="Calibri" w:cs="Calibri"/>
              </w:rPr>
              <w:t>Where an operator fails to surrender allowances</w:t>
            </w:r>
            <w:r w:rsidR="005F68FD">
              <w:rPr>
                <w:rFonts w:ascii="Calibri" w:hAnsi="Calibri" w:cs="Calibri"/>
              </w:rPr>
              <w:t xml:space="preserve"> (article 52)</w:t>
            </w:r>
            <w:r>
              <w:rPr>
                <w:rFonts w:ascii="Calibri" w:hAnsi="Calibri" w:cs="Calibri"/>
              </w:rPr>
              <w:t>, they are liable to an ‘excess emissions penalty’ of £100 multiplied by the inflation factor for each allowance the operator fails to surrender. Under certain circumstances outlined in article 5</w:t>
            </w:r>
            <w:r w:rsidR="005F68FD">
              <w:rPr>
                <w:rFonts w:ascii="Calibri" w:hAnsi="Calibri" w:cs="Calibri"/>
              </w:rPr>
              <w:t>2</w:t>
            </w:r>
            <w:r>
              <w:rPr>
                <w:rFonts w:ascii="Calibri" w:hAnsi="Calibri" w:cs="Calibri"/>
              </w:rPr>
              <w:t xml:space="preserve">(4-10) </w:t>
            </w:r>
            <w:r w:rsidR="00773E4B">
              <w:rPr>
                <w:rFonts w:ascii="Calibri" w:hAnsi="Calibri" w:cs="Calibri"/>
              </w:rPr>
              <w:t xml:space="preserve">the operator is liable to a civil penalty of £20 multiplied by the inflation factor per allowance, rather than the ‘excess emissions penalty’. </w:t>
            </w:r>
            <w:r w:rsidR="005F68FD">
              <w:rPr>
                <w:rFonts w:ascii="Calibri" w:hAnsi="Calibri" w:cs="Calibri"/>
              </w:rPr>
              <w:t xml:space="preserve">This same civil penalty also applies (article 53) where an operator fails to </w:t>
            </w:r>
            <w:r w:rsidR="005F68FD" w:rsidRPr="005F68FD">
              <w:rPr>
                <w:rFonts w:ascii="Calibri" w:hAnsi="Calibri" w:cs="Calibri"/>
              </w:rPr>
              <w:t xml:space="preserve">transfer or surrender allowances where </w:t>
            </w:r>
            <w:r w:rsidR="005F68FD">
              <w:rPr>
                <w:rFonts w:ascii="Calibri" w:hAnsi="Calibri" w:cs="Calibri"/>
              </w:rPr>
              <w:t xml:space="preserve">the </w:t>
            </w:r>
            <w:r w:rsidR="005F68FD" w:rsidRPr="005F68FD">
              <w:rPr>
                <w:rFonts w:ascii="Calibri" w:hAnsi="Calibri" w:cs="Calibri"/>
              </w:rPr>
              <w:t>underreporting discovered</w:t>
            </w:r>
            <w:r w:rsidR="005F68FD">
              <w:rPr>
                <w:rFonts w:ascii="Calibri" w:hAnsi="Calibri" w:cs="Calibri"/>
              </w:rPr>
              <w:t xml:space="preserve"> </w:t>
            </w:r>
            <w:r w:rsidR="005F68FD" w:rsidRPr="005F68FD">
              <w:rPr>
                <w:rFonts w:ascii="Calibri" w:hAnsi="Calibri" w:cs="Calibri"/>
              </w:rPr>
              <w:t>after transfer</w:t>
            </w:r>
            <w:r w:rsidR="005F68FD">
              <w:rPr>
                <w:rFonts w:ascii="Calibri" w:hAnsi="Calibri" w:cs="Calibri"/>
              </w:rPr>
              <w:t>.</w:t>
            </w:r>
          </w:p>
          <w:p w14:paraId="3BAEC00F" w14:textId="7E622B47" w:rsidR="001426DD" w:rsidRDefault="001426DD" w:rsidP="00732A4B">
            <w:pPr>
              <w:rPr>
                <w:rFonts w:ascii="Calibri" w:hAnsi="Calibri" w:cs="Calibri"/>
              </w:rPr>
            </w:pPr>
            <w:r>
              <w:rPr>
                <w:rFonts w:ascii="Calibri" w:hAnsi="Calibri" w:cs="Calibri"/>
              </w:rPr>
              <w:t>Per article 49 the regulator must publish the name of every person on whom this excess emissions penalty is imposed as soon as reasonably practicable, unless this person is found not liable to a civil penalty following an appeal.</w:t>
            </w:r>
          </w:p>
          <w:p w14:paraId="258DE113" w14:textId="4ADBF44C" w:rsidR="00773E4B" w:rsidRDefault="00773E4B" w:rsidP="00732A4B">
            <w:pPr>
              <w:rPr>
                <w:rFonts w:ascii="Calibri" w:hAnsi="Calibri" w:cs="Calibri"/>
              </w:rPr>
            </w:pPr>
            <w:r>
              <w:rPr>
                <w:rFonts w:ascii="Calibri" w:hAnsi="Calibri" w:cs="Calibri"/>
              </w:rPr>
              <w:t>Where a hospital or small emitter exceeds their emissions target</w:t>
            </w:r>
            <w:r w:rsidR="005F68FD">
              <w:rPr>
                <w:rFonts w:ascii="Calibri" w:hAnsi="Calibri" w:cs="Calibri"/>
              </w:rPr>
              <w:t xml:space="preserve"> (article 54)</w:t>
            </w:r>
            <w:r>
              <w:rPr>
                <w:rFonts w:ascii="Calibri" w:hAnsi="Calibri" w:cs="Calibri"/>
              </w:rPr>
              <w:t xml:space="preserve"> they are liable to a civil penalty of (RE-ET) x CP where RE is the installation’s reportable emissions, ET is the installation’s emissions target and CP is the carbon price per article 46.</w:t>
            </w:r>
            <w:r w:rsidR="005F68FD">
              <w:rPr>
                <w:rFonts w:ascii="Calibri" w:hAnsi="Calibri" w:cs="Calibri"/>
              </w:rPr>
              <w:t xml:space="preserve"> Article 55 details the further civil penalty for failing to pay this first civil penalty, which is 10% of the first penalty and a daily penalty of £150 up to £13,500.</w:t>
            </w:r>
          </w:p>
          <w:p w14:paraId="56F74584" w14:textId="77777777" w:rsidR="00773E4B" w:rsidRDefault="00773E4B" w:rsidP="00732A4B">
            <w:pPr>
              <w:rPr>
                <w:rFonts w:ascii="Calibri" w:hAnsi="Calibri" w:cs="Calibri"/>
              </w:rPr>
            </w:pPr>
            <w:r>
              <w:rPr>
                <w:rFonts w:ascii="Calibri" w:hAnsi="Calibri" w:cs="Calibri"/>
              </w:rPr>
              <w:t xml:space="preserve">Where a hospital or small emitter has under-reported </w:t>
            </w:r>
            <w:r w:rsidR="005F68FD">
              <w:rPr>
                <w:rFonts w:ascii="Calibri" w:hAnsi="Calibri" w:cs="Calibri"/>
              </w:rPr>
              <w:t>their emissions (article 56) they are liable to a civil penalty of £5000 + (UE x CP) where UE is the underreported emissions in tonnes of CO2 equivalent and CP is the carbon price.</w:t>
            </w:r>
          </w:p>
          <w:p w14:paraId="5EA80446" w14:textId="77777777" w:rsidR="005F68FD" w:rsidRDefault="00E21927" w:rsidP="00732A4B">
            <w:pPr>
              <w:rPr>
                <w:rFonts w:ascii="Calibri" w:hAnsi="Calibri" w:cs="Calibri"/>
              </w:rPr>
            </w:pPr>
            <w:r>
              <w:rPr>
                <w:rFonts w:ascii="Calibri" w:hAnsi="Calibri" w:cs="Calibri"/>
              </w:rPr>
              <w:t>Where a hospital or small emitter has failed to notify when they cease to meet a criteria (article 57), they are liable to a civil penalty of £2500 if failure is on or before 31 March in a default year; £5000 if failure is on or before 31 October in a default year and there is no penalty year; and £5000 plus 2x avoided compliance costs for each penalty year if failure is on or before 31 October in a default year and there is a penalty year. Compliance costs are (RE x CP) – PP where RE is reportable emissions, CP is carbon price and PP is amount of civil penalty previously given where a penalty notice imposing a civil penalty has previously been given to the operator (article 57(4)).</w:t>
            </w:r>
          </w:p>
          <w:p w14:paraId="22A31E0D" w14:textId="77777777" w:rsidR="00E21927" w:rsidRDefault="00E21927" w:rsidP="00732A4B">
            <w:pPr>
              <w:rPr>
                <w:rFonts w:ascii="Calibri" w:hAnsi="Calibri" w:cs="Calibri"/>
              </w:rPr>
            </w:pPr>
            <w:r>
              <w:rPr>
                <w:rFonts w:ascii="Calibri" w:hAnsi="Calibri" w:cs="Calibri"/>
              </w:rPr>
              <w:t>Where installations fail to apply to surrender permits (article 58) the operator is liable to a civil penalty of £5000.</w:t>
            </w:r>
          </w:p>
          <w:p w14:paraId="5B3A7576" w14:textId="77777777" w:rsidR="00E21927" w:rsidRDefault="00E21927" w:rsidP="00732A4B">
            <w:pPr>
              <w:rPr>
                <w:rFonts w:ascii="Calibri" w:hAnsi="Calibri" w:cs="Calibri"/>
              </w:rPr>
            </w:pPr>
            <w:r>
              <w:rPr>
                <w:rFonts w:ascii="Calibri" w:hAnsi="Calibri" w:cs="Calibri"/>
              </w:rPr>
              <w:t>Where an ultra-small emitter’s reportable emissions exceed a maximum amount (article 59) the operator is liable to a civil penalty of (RE-maximum amount) x CP where RE is reportable emissions and CP is carbon price.</w:t>
            </w:r>
          </w:p>
          <w:p w14:paraId="52FD4EC3" w14:textId="77777777" w:rsidR="00E21927" w:rsidRDefault="00E21927" w:rsidP="00732A4B">
            <w:pPr>
              <w:rPr>
                <w:rFonts w:ascii="Calibri" w:hAnsi="Calibri" w:cs="Calibri"/>
              </w:rPr>
            </w:pPr>
            <w:r>
              <w:rPr>
                <w:rFonts w:ascii="Calibri" w:hAnsi="Calibri" w:cs="Calibri"/>
              </w:rPr>
              <w:t>Where ultra-small emitters fail to notify where these reportable emissions exceed that maximum amount (article 60) the operator is liable to a civil penalty of £2500 and CA + (RE x CP) where CA is costs avoided, RE is reportable emissions and CP is carbon price.</w:t>
            </w:r>
            <w:r w:rsidR="00F04507">
              <w:rPr>
                <w:rFonts w:ascii="Calibri" w:hAnsi="Calibri" w:cs="Calibri"/>
              </w:rPr>
              <w:t xml:space="preserve"> The regulator may increase this. </w:t>
            </w:r>
          </w:p>
          <w:p w14:paraId="3F5C5219" w14:textId="585C3170" w:rsidR="00F04507" w:rsidRDefault="00F04507" w:rsidP="00F04507">
            <w:pPr>
              <w:rPr>
                <w:rFonts w:ascii="Calibri" w:hAnsi="Calibri" w:cs="Calibri"/>
              </w:rPr>
            </w:pPr>
            <w:r>
              <w:rPr>
                <w:rFonts w:ascii="Calibri" w:hAnsi="Calibri" w:cs="Calibri"/>
              </w:rPr>
              <w:t xml:space="preserve">Where an aircraft operator fails to apply or make revised application for an emissions monitoring plan (article 61) the operator is liable to a civil penalty of £20,000 and a daily penalty of £500 for each day that the application or revised application is not submitted to a maximum of £45,000. </w:t>
            </w:r>
          </w:p>
          <w:p w14:paraId="01E4577B" w14:textId="77777777" w:rsidR="00F04507" w:rsidRDefault="00F04507" w:rsidP="00F04507">
            <w:pPr>
              <w:rPr>
                <w:rFonts w:ascii="Calibri" w:hAnsi="Calibri" w:cs="Calibri"/>
              </w:rPr>
            </w:pPr>
            <w:r>
              <w:rPr>
                <w:rFonts w:ascii="Calibri" w:hAnsi="Calibri" w:cs="Calibri"/>
              </w:rPr>
              <w:t xml:space="preserve">The same applies where an aircraft operator fails to comply with the condition of an emissions monitoring plan (article 62), where they fail to monitor aviation emissions (article </w:t>
            </w:r>
            <w:r>
              <w:rPr>
                <w:rFonts w:ascii="Calibri" w:hAnsi="Calibri" w:cs="Calibri"/>
              </w:rPr>
              <w:lastRenderedPageBreak/>
              <w:t>63), and where they fail to submit or submit on time a verified report of aviation emissions to the regulator (article 64).</w:t>
            </w:r>
          </w:p>
          <w:p w14:paraId="0DA3FA52" w14:textId="77777777" w:rsidR="00F04507" w:rsidRDefault="00F04507" w:rsidP="00F04507">
            <w:pPr>
              <w:rPr>
                <w:rFonts w:ascii="Calibri" w:hAnsi="Calibri" w:cs="Calibri"/>
              </w:rPr>
            </w:pPr>
            <w:r>
              <w:rPr>
                <w:rFonts w:ascii="Calibri" w:hAnsi="Calibri" w:cs="Calibri"/>
              </w:rPr>
              <w:t>Where a person fails to comply with an enforcement notice given by a regulator (article 65) they are liable to a civil penalty of £20,000 and a daily penalty of £1000 for each day of failure, up to a maximum of £45,000.</w:t>
            </w:r>
          </w:p>
          <w:p w14:paraId="1461687F" w14:textId="77777777" w:rsidR="00F04507" w:rsidRDefault="00F04507" w:rsidP="00F04507">
            <w:pPr>
              <w:rPr>
                <w:rFonts w:ascii="Calibri" w:hAnsi="Calibri" w:cs="Calibri"/>
              </w:rPr>
            </w:pPr>
            <w:r>
              <w:rPr>
                <w:rFonts w:ascii="Calibri" w:hAnsi="Calibri" w:cs="Calibri"/>
              </w:rPr>
              <w:t>Where a person fails to comply with an information</w:t>
            </w:r>
            <w:r w:rsidR="00DB6DB0">
              <w:rPr>
                <w:rFonts w:ascii="Calibri" w:hAnsi="Calibri" w:cs="Calibri"/>
              </w:rPr>
              <w:t xml:space="preserve"> notice</w:t>
            </w:r>
            <w:r>
              <w:rPr>
                <w:rFonts w:ascii="Calibri" w:hAnsi="Calibri" w:cs="Calibri"/>
              </w:rPr>
              <w:t xml:space="preserve"> (article 66) they are liable to a civil penalty of £</w:t>
            </w:r>
            <w:r w:rsidR="00DB6DB0">
              <w:rPr>
                <w:rFonts w:ascii="Calibri" w:hAnsi="Calibri" w:cs="Calibri"/>
              </w:rPr>
              <w:t>5000</w:t>
            </w:r>
            <w:r>
              <w:rPr>
                <w:rFonts w:ascii="Calibri" w:hAnsi="Calibri" w:cs="Calibri"/>
              </w:rPr>
              <w:t xml:space="preserve"> and a daily penalty of £</w:t>
            </w:r>
            <w:r w:rsidR="00DB6DB0">
              <w:rPr>
                <w:rFonts w:ascii="Calibri" w:hAnsi="Calibri" w:cs="Calibri"/>
              </w:rPr>
              <w:t>500</w:t>
            </w:r>
            <w:r>
              <w:rPr>
                <w:rFonts w:ascii="Calibri" w:hAnsi="Calibri" w:cs="Calibri"/>
              </w:rPr>
              <w:t xml:space="preserve"> for each day of failure, up to a maximum of £45,000</w:t>
            </w:r>
            <w:r w:rsidR="00DB6DB0">
              <w:rPr>
                <w:rFonts w:ascii="Calibri" w:hAnsi="Calibri" w:cs="Calibri"/>
              </w:rPr>
              <w:t>.</w:t>
            </w:r>
          </w:p>
          <w:p w14:paraId="761E991D" w14:textId="77777777" w:rsidR="00DB6DB0" w:rsidRDefault="00DB6DB0" w:rsidP="00F04507">
            <w:pPr>
              <w:rPr>
                <w:rFonts w:ascii="Calibri" w:hAnsi="Calibri" w:cs="Calibri"/>
              </w:rPr>
            </w:pPr>
            <w:r>
              <w:rPr>
                <w:rFonts w:ascii="Calibri" w:hAnsi="Calibri" w:cs="Calibri"/>
              </w:rPr>
              <w:t xml:space="preserve">Where a person provides false or misleading information or makes a statement that is false or misleading in a material respect under specified circumstances (article 67) they are liable to a civil penalty of £50,000. </w:t>
            </w:r>
          </w:p>
          <w:p w14:paraId="7CC5C002" w14:textId="4DAE5C10" w:rsidR="00DB6DB0" w:rsidRPr="00E80BFA" w:rsidRDefault="00DB6DB0" w:rsidP="00F04507">
            <w:pPr>
              <w:rPr>
                <w:rFonts w:ascii="Calibri" w:hAnsi="Calibri" w:cs="Calibri"/>
              </w:rPr>
            </w:pPr>
            <w:r>
              <w:rPr>
                <w:rFonts w:ascii="Calibri" w:hAnsi="Calibri" w:cs="Calibri"/>
              </w:rPr>
              <w:t>Where a person in control of premises does not allow the regulator or authorised person access they are liable to a civil penalty of £50,000 (article 68).</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102B615"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41FF0F82" w:rsidR="00092534" w:rsidRPr="00CF2E7C" w:rsidRDefault="004B3399"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15C461F" w14:textId="77777777" w:rsidR="00C05E39" w:rsidRDefault="00C05E39" w:rsidP="00C05E39">
            <w:pPr>
              <w:rPr>
                <w:rFonts w:ascii="Calibri" w:hAnsi="Calibri" w:cs="Calibri"/>
              </w:rPr>
            </w:pPr>
            <w:r>
              <w:rPr>
                <w:rFonts w:ascii="Calibri" w:hAnsi="Calibri" w:cs="Calibri"/>
              </w:rPr>
              <w:t>The Order is actively being enforced.</w:t>
            </w:r>
            <w:r w:rsidR="004B3399">
              <w:rPr>
                <w:rFonts w:ascii="Calibri" w:hAnsi="Calibri" w:cs="Calibri"/>
              </w:rPr>
              <w:t xml:space="preserve"> </w:t>
            </w:r>
            <w:r>
              <w:rPr>
                <w:rFonts w:ascii="Calibri" w:hAnsi="Calibri" w:cs="Calibri"/>
              </w:rPr>
              <w:t xml:space="preserve">For example, </w:t>
            </w:r>
            <w:r w:rsidRPr="00C05E39">
              <w:rPr>
                <w:rFonts w:ascii="Calibri" w:hAnsi="Calibri" w:cs="Calibri"/>
              </w:rPr>
              <w:t>Repsol Sinopec</w:t>
            </w:r>
            <w:r>
              <w:rPr>
                <w:rFonts w:ascii="Calibri" w:hAnsi="Calibri" w:cs="Calibri"/>
              </w:rPr>
              <w:t xml:space="preserve"> Resources UK Limited</w:t>
            </w:r>
            <w:r w:rsidRPr="00C05E39">
              <w:rPr>
                <w:rFonts w:ascii="Calibri" w:hAnsi="Calibri" w:cs="Calibri"/>
              </w:rPr>
              <w:t xml:space="preserve"> was </w:t>
            </w:r>
            <w:hyperlink r:id="rId21" w:history="1">
              <w:r w:rsidRPr="00C05E39">
                <w:rPr>
                  <w:rStyle w:val="Hyperlink"/>
                  <w:rFonts w:ascii="Calibri" w:hAnsi="Calibri" w:cs="Calibri"/>
                </w:rPr>
                <w:t>fined</w:t>
              </w:r>
            </w:hyperlink>
            <w:r w:rsidRPr="00C05E39">
              <w:rPr>
                <w:rFonts w:ascii="Calibri" w:hAnsi="Calibri" w:cs="Calibri"/>
              </w:rPr>
              <w:t xml:space="preserve"> £13,333 on 27 July 2023</w:t>
            </w:r>
            <w:r>
              <w:rPr>
                <w:rFonts w:ascii="Calibri" w:hAnsi="Calibri" w:cs="Calibri"/>
              </w:rPr>
              <w:t xml:space="preserve"> </w:t>
            </w:r>
            <w:r w:rsidRPr="00C05E39">
              <w:rPr>
                <w:rFonts w:ascii="Calibri" w:hAnsi="Calibri" w:cs="Calibri"/>
              </w:rPr>
              <w:t>for multiple violations of Article 51 of the Order.</w:t>
            </w:r>
          </w:p>
          <w:p w14:paraId="130CC207" w14:textId="1FC69C3B" w:rsidR="00C05E39" w:rsidRPr="00CF2E7C" w:rsidRDefault="00C05E39" w:rsidP="00C05E39">
            <w:pPr>
              <w:rPr>
                <w:rFonts w:ascii="Calibri" w:hAnsi="Calibri" w:cs="Calibri"/>
              </w:rPr>
            </w:pPr>
            <w:r>
              <w:rPr>
                <w:rFonts w:ascii="Calibri" w:hAnsi="Calibri" w:cs="Calibri"/>
              </w:rPr>
              <w:t>T</w:t>
            </w:r>
            <w:r>
              <w:rPr>
                <w:rFonts w:ascii="Calibri" w:hAnsi="Calibri" w:cs="Calibri"/>
              </w:rPr>
              <w:t>he Environment Agency has</w:t>
            </w:r>
            <w:r>
              <w:rPr>
                <w:rFonts w:ascii="Calibri" w:hAnsi="Calibri" w:cs="Calibri"/>
              </w:rPr>
              <w:t xml:space="preserve"> also</w:t>
            </w:r>
            <w:r>
              <w:rPr>
                <w:rFonts w:ascii="Calibri" w:hAnsi="Calibri" w:cs="Calibri"/>
              </w:rPr>
              <w:t xml:space="preserve"> published a </w:t>
            </w:r>
            <w:hyperlink r:id="rId22" w:history="1">
              <w:r w:rsidRPr="00C05E39">
                <w:rPr>
                  <w:rStyle w:val="Hyperlink"/>
                  <w:rFonts w:ascii="Calibri" w:hAnsi="Calibri" w:cs="Calibri"/>
                </w:rPr>
                <w:t>policy paper</w:t>
              </w:r>
            </w:hyperlink>
            <w:r>
              <w:rPr>
                <w:rFonts w:ascii="Calibri" w:hAnsi="Calibri" w:cs="Calibri"/>
              </w:rPr>
              <w:t xml:space="preserve"> on its enforcement and sanctions strategy, which applies, </w:t>
            </w:r>
            <w:r>
              <w:rPr>
                <w:rFonts w:ascii="Calibri" w:hAnsi="Calibri" w:cs="Calibri"/>
                <w:i/>
                <w:iCs/>
              </w:rPr>
              <w:t>inter alia</w:t>
            </w:r>
            <w:r>
              <w:rPr>
                <w:rFonts w:ascii="Calibri" w:hAnsi="Calibri" w:cs="Calibri"/>
              </w:rPr>
              <w:t>, to civil penalties under the UK ETS.</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022C0091" w:rsidR="00092534" w:rsidRPr="00CF2E7C" w:rsidRDefault="0069713D"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4AF64CC" w14:textId="77777777" w:rsidR="007C7DE4" w:rsidRDefault="0069713D" w:rsidP="00CF2E7C">
            <w:pPr>
              <w:rPr>
                <w:rFonts w:ascii="Calibri" w:hAnsi="Calibri" w:cs="Calibri"/>
              </w:rPr>
            </w:pPr>
            <w:r>
              <w:rPr>
                <w:rFonts w:ascii="Calibri" w:hAnsi="Calibri" w:cs="Calibri"/>
              </w:rPr>
              <w:t xml:space="preserve">In 2021 the High Court handed down judgement in the case of </w:t>
            </w:r>
            <w:r w:rsidRPr="0069713D">
              <w:rPr>
                <w:rFonts w:ascii="Calibri" w:hAnsi="Calibri" w:cs="Calibri"/>
                <w:i/>
                <w:iCs/>
              </w:rPr>
              <w:t xml:space="preserve">R (Elliott-Smith) v Secretary of State for Business, Energy and Industrial Strategy &amp; others </w:t>
            </w:r>
            <w:r w:rsidRPr="0069713D">
              <w:rPr>
                <w:rFonts w:ascii="Calibri" w:hAnsi="Calibri" w:cs="Calibri"/>
              </w:rPr>
              <w:t>[2021]</w:t>
            </w:r>
            <w:r>
              <w:rPr>
                <w:rFonts w:ascii="Calibri" w:hAnsi="Calibri" w:cs="Calibri"/>
              </w:rPr>
              <w:t xml:space="preserve">. </w:t>
            </w:r>
          </w:p>
          <w:p w14:paraId="3A5CDF90" w14:textId="4686C2A3" w:rsidR="00092534" w:rsidRDefault="0069713D" w:rsidP="00CF2E7C">
            <w:pPr>
              <w:rPr>
                <w:rFonts w:ascii="Calibri" w:hAnsi="Calibri" w:cs="Calibri"/>
              </w:rPr>
            </w:pPr>
            <w:r>
              <w:rPr>
                <w:rFonts w:ascii="Calibri" w:hAnsi="Calibri" w:cs="Calibri"/>
              </w:rPr>
              <w:t>The judicial review was a challenge to the UK ETS on the basis that (i) the total emissions cap was too high to meet short- and medium-term obligations under the Paris Agreement; and (ii) that the power in s</w:t>
            </w:r>
            <w:r w:rsidR="00C05E39">
              <w:rPr>
                <w:rFonts w:ascii="Calibri" w:hAnsi="Calibri" w:cs="Calibri"/>
              </w:rPr>
              <w:t xml:space="preserve">ection </w:t>
            </w:r>
            <w:r>
              <w:rPr>
                <w:rFonts w:ascii="Calibri" w:hAnsi="Calibri" w:cs="Calibri"/>
              </w:rPr>
              <w:t>44 of the 2008 Climate Change Act to establish trading schemes had been exercised for an improper purpose, namely the easing of the UK’s exit from the EU where the purpose should have been reducing emissions.</w:t>
            </w:r>
          </w:p>
          <w:p w14:paraId="26E06B4C" w14:textId="6DE3D49A" w:rsidR="0069713D" w:rsidRDefault="00C05E39" w:rsidP="00CF2E7C">
            <w:pPr>
              <w:rPr>
                <w:rFonts w:ascii="Calibri" w:hAnsi="Calibri" w:cs="Calibri"/>
              </w:rPr>
            </w:pPr>
            <w:r>
              <w:rPr>
                <w:rFonts w:ascii="Calibri" w:hAnsi="Calibri" w:cs="Calibri"/>
              </w:rPr>
              <w:t xml:space="preserve">The </w:t>
            </w:r>
            <w:r w:rsidR="0069713D">
              <w:rPr>
                <w:rFonts w:ascii="Calibri" w:hAnsi="Calibri" w:cs="Calibri"/>
              </w:rPr>
              <w:t xml:space="preserve">High Court dismissed the challenge. </w:t>
            </w:r>
          </w:p>
          <w:p w14:paraId="79851E8F" w14:textId="24BC3D92" w:rsidR="007C7DE4" w:rsidRDefault="0062662A" w:rsidP="00CF2E7C">
            <w:pPr>
              <w:rPr>
                <w:rFonts w:ascii="Calibri" w:hAnsi="Calibri" w:cs="Calibri"/>
              </w:rPr>
            </w:pPr>
            <w:hyperlink r:id="rId23" w:history="1">
              <w:r w:rsidR="007C7DE4" w:rsidRPr="002169D5">
                <w:rPr>
                  <w:rStyle w:val="Hyperlink"/>
                  <w:rFonts w:ascii="Calibri" w:hAnsi="Calibri" w:cs="Calibri"/>
                </w:rPr>
                <w:t>https://web.archive.org/web/20250708142816/https://www.ftbchambers.co.uk/news/news-view/challenge-to-new-uk-emissions-trading-scheme-dismissed</w:t>
              </w:r>
            </w:hyperlink>
          </w:p>
          <w:p w14:paraId="58E21A0D" w14:textId="19044C50" w:rsidR="007C7DE4" w:rsidRPr="00CF2E7C" w:rsidRDefault="0062662A" w:rsidP="00CF2E7C">
            <w:pPr>
              <w:rPr>
                <w:rFonts w:ascii="Calibri" w:hAnsi="Calibri" w:cs="Calibri"/>
              </w:rPr>
            </w:pPr>
            <w:hyperlink r:id="rId24" w:history="1">
              <w:r w:rsidR="007C7DE4" w:rsidRPr="002169D5">
                <w:rPr>
                  <w:rStyle w:val="Hyperlink"/>
                  <w:rFonts w:ascii="Calibri" w:hAnsi="Calibri" w:cs="Calibri"/>
                </w:rPr>
                <w:t>https://web.archive.org/web/20250708142828/https://climatecasechart.com/non-us-case/elliott-smith-v-secretary-of-state-for-business-energy-and-industrial-strategy-et-al/</w:t>
              </w:r>
            </w:hyperlink>
            <w:r w:rsidR="007C7DE4">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F638B9D" w:rsidR="00D46B07" w:rsidRPr="00CF2E7C" w:rsidRDefault="002A3EF1" w:rsidP="002A3EF1">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3FA809CC" w:rsidR="00D46B07" w:rsidRPr="00CF2E7C" w:rsidRDefault="00701A7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0FB669A" w:rsidR="00D46B07" w:rsidRPr="00CF2E7C" w:rsidRDefault="00701A7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66B65DC" w:rsidR="00D46B07" w:rsidRPr="00CF2E7C" w:rsidRDefault="00701A7B"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437E7395"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6524F591" w:rsidR="00D46B07" w:rsidRPr="00CF2E7C" w:rsidRDefault="00C112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C853F9F"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D3A9193" w:rsidR="00702413" w:rsidRPr="00CF2E7C" w:rsidRDefault="00BA5206" w:rsidP="00CF2E7C">
            <w:pPr>
              <w:textAlignment w:val="baseline"/>
              <w:rPr>
                <w:rFonts w:ascii="Calibri" w:eastAsia="Times New Roman" w:hAnsi="Calibri" w:cs="Calibri"/>
                <w:kern w:val="0"/>
                <w:lang w:eastAsia="en-GB"/>
                <w14:ligatures w14:val="none"/>
              </w:rPr>
            </w:pPr>
            <w:r w:rsidRPr="00BA520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AEF63AF"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1C531C7" w:rsidR="00702413"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AF4D2D0" w:rsidR="00702413"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D037298" w:rsidR="00702413"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214CC21" w:rsidR="00702413"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396D2F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CE89D89" w:rsidR="00702413" w:rsidRPr="00CF2E7C" w:rsidRDefault="00BA5206" w:rsidP="00CF2E7C">
            <w:pPr>
              <w:textAlignment w:val="baseline"/>
              <w:rPr>
                <w:rFonts w:ascii="Calibri" w:eastAsia="Times New Roman" w:hAnsi="Calibri" w:cs="Calibri"/>
                <w:kern w:val="0"/>
                <w:lang w:eastAsia="en-GB"/>
                <w14:ligatures w14:val="none"/>
              </w:rPr>
            </w:pPr>
            <w:r w:rsidRPr="00BA5206">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C37FB7" w14:textId="15979ECC" w:rsidR="00BA5206" w:rsidRDefault="00F51A0E" w:rsidP="00F51A0E">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Per Section 6 of the Guidance. </w:t>
            </w:r>
            <w:r w:rsidRPr="00F51A0E">
              <w:rPr>
                <w:rFonts w:ascii="Calibri" w:eastAsia="Times New Roman" w:hAnsi="Calibri" w:cs="Calibri"/>
                <w:kern w:val="0"/>
                <w:lang w:eastAsia="en-GB"/>
                <w14:ligatures w14:val="none"/>
              </w:rPr>
              <w:t>The UK ETS requires operators to use the UK Emissions Trading Registry.</w:t>
            </w:r>
            <w:r w:rsidR="00BA5206">
              <w:rPr>
                <w:rFonts w:ascii="Calibri" w:eastAsia="Times New Roman" w:hAnsi="Calibri" w:cs="Calibri"/>
                <w:kern w:val="0"/>
                <w:lang w:eastAsia="en-GB"/>
                <w14:ligatures w14:val="none"/>
              </w:rPr>
              <w:t xml:space="preserve"> The Registry was set up in accordance with Schedule 5A of the Order. </w:t>
            </w:r>
          </w:p>
          <w:p w14:paraId="007D534B" w14:textId="3AE5C95F" w:rsidR="00702413" w:rsidRDefault="00F51A0E" w:rsidP="00F51A0E">
            <w:pPr>
              <w:rPr>
                <w:rFonts w:ascii="Calibri" w:eastAsia="Times New Roman" w:hAnsi="Calibri" w:cs="Calibri"/>
                <w:kern w:val="0"/>
                <w:lang w:eastAsia="en-GB"/>
                <w14:ligatures w14:val="none"/>
              </w:rPr>
            </w:pPr>
            <w:r w:rsidRPr="00F51A0E">
              <w:rPr>
                <w:rFonts w:ascii="Calibri" w:eastAsia="Times New Roman" w:hAnsi="Calibri" w:cs="Calibri"/>
                <w:kern w:val="0"/>
                <w:lang w:eastAsia="en-GB"/>
                <w14:ligatures w14:val="none"/>
              </w:rPr>
              <w:t>Installation operators must have an Operator Holding Account (OHA) and aircraft operators must have an Aircraft Operator Holding Account (AOHA) to acquire and surrender allowances. The registry functions like an online bank account, recording allowance holdings, movements, verified emissions and free allocations. Opening an account requires verification and can take up to</w:t>
            </w:r>
            <w:r w:rsidR="000D0505">
              <w:rPr>
                <w:rFonts w:ascii="Calibri" w:eastAsia="Times New Roman" w:hAnsi="Calibri" w:cs="Calibri"/>
                <w:kern w:val="0"/>
                <w:lang w:eastAsia="en-GB"/>
                <w14:ligatures w14:val="none"/>
              </w:rPr>
              <w:t>, or occasionally longer than,</w:t>
            </w:r>
            <w:r w:rsidRPr="00F51A0E">
              <w:rPr>
                <w:rFonts w:ascii="Calibri" w:eastAsia="Times New Roman" w:hAnsi="Calibri" w:cs="Calibri"/>
                <w:kern w:val="0"/>
                <w:lang w:eastAsia="en-GB"/>
                <w14:ligatures w14:val="none"/>
              </w:rPr>
              <w:t xml:space="preserve"> 2 months.</w:t>
            </w:r>
          </w:p>
          <w:p w14:paraId="38C2165D" w14:textId="5D281525" w:rsidR="000D0505" w:rsidRPr="00CF2E7C" w:rsidRDefault="0062662A" w:rsidP="00F51A0E">
            <w:pPr>
              <w:rPr>
                <w:rFonts w:ascii="Calibri" w:eastAsia="Times New Roman" w:hAnsi="Calibri" w:cs="Calibri"/>
                <w:kern w:val="0"/>
                <w:lang w:eastAsia="en-GB"/>
                <w14:ligatures w14:val="none"/>
              </w:rPr>
            </w:pPr>
            <w:hyperlink r:id="rId25" w:history="1">
              <w:r w:rsidR="000D0505" w:rsidRPr="002169D5">
                <w:rPr>
                  <w:rStyle w:val="Hyperlink"/>
                  <w:rFonts w:ascii="Calibri" w:eastAsia="Times New Roman" w:hAnsi="Calibri" w:cs="Calibri"/>
                  <w:kern w:val="0"/>
                  <w:lang w:eastAsia="en-GB"/>
                  <w14:ligatures w14:val="none"/>
                </w:rPr>
                <w:t>https://web.archive.org/web/20250708112441/https://view-emissions-trading-registry.service.gov.uk/</w:t>
              </w:r>
            </w:hyperlink>
            <w:r w:rsidR="000D0505">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451CB3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01AD529F" w:rsidR="00343937" w:rsidRPr="00CF2E7C" w:rsidRDefault="004B5C6B" w:rsidP="00CF2E7C">
            <w:pPr>
              <w:textAlignment w:val="baseline"/>
              <w:rPr>
                <w:rFonts w:ascii="Calibri" w:eastAsia="Times New Roman" w:hAnsi="Calibri" w:cs="Calibri"/>
                <w:kern w:val="0"/>
                <w:lang w:eastAsia="en-GB"/>
                <w14:ligatures w14:val="none"/>
              </w:rPr>
            </w:pPr>
            <w:r w:rsidRPr="004B5C6B">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C2C449C"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51F3831"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w:t>
            </w:r>
            <w:r w:rsidRPr="00CF2E7C">
              <w:rPr>
                <w:rFonts w:ascii="Calibri" w:eastAsia="Times New Roman" w:hAnsi="Calibri" w:cs="Calibri"/>
                <w:kern w:val="0"/>
                <w:lang w:eastAsia="en-GB"/>
                <w14:ligatures w14:val="none"/>
              </w:rPr>
              <w:lastRenderedPageBreak/>
              <w:t xml:space="preserve">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C9EB31B"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AE7201A"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A079A15"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27C1FD19"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425E2DB"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25273FD9"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8C484E0"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6312903" w:rsidR="00343937"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43B5F0F7" w:rsidR="000A6F11"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EA1E17D" w:rsidR="00304070" w:rsidRPr="00CF2E7C" w:rsidRDefault="00701A7B" w:rsidP="00701A7B">
            <w:pPr>
              <w:rPr>
                <w:rFonts w:ascii="Calibri" w:eastAsia="Times New Roman" w:hAnsi="Calibri" w:cs="Calibri"/>
                <w:kern w:val="0"/>
                <w:lang w:eastAsia="en-GB"/>
                <w14:ligatures w14:val="none"/>
              </w:rPr>
            </w:pPr>
            <w:r w:rsidRPr="00701A7B">
              <w:rPr>
                <w:rFonts w:ascii="Calibri" w:eastAsia="Times New Roman" w:hAnsi="Calibri" w:cs="Calibri"/>
                <w:kern w:val="0"/>
                <w:lang w:eastAsia="en-GB"/>
                <w14:ligatures w14:val="none"/>
              </w:rPr>
              <w:t>Article 70 provides right of appeal to an appeal body for persons aggrieved by regulator decisions or notices, covering applications, enforcement notices, penalty notices, permit matters and emissions determination</w:t>
            </w:r>
            <w:r w:rsidR="00E00F29">
              <w:rPr>
                <w:rFonts w:ascii="Calibri" w:eastAsia="Times New Roman" w:hAnsi="Calibri" w:cs="Calibri"/>
                <w:kern w:val="0"/>
                <w:lang w:eastAsia="en-GB"/>
                <w14:ligatures w14:val="none"/>
              </w:rPr>
              <w:t>s</w:t>
            </w:r>
            <w:r w:rsidRPr="00701A7B">
              <w:rPr>
                <w:rFonts w:ascii="Calibri" w:eastAsia="Times New Roman" w:hAnsi="Calibri" w:cs="Calibri"/>
                <w:kern w:val="0"/>
                <w:lang w:eastAsia="en-GB"/>
                <w14:ligatures w14:val="none"/>
              </w:rPr>
              <w:t>.</w:t>
            </w:r>
            <w:r w:rsidR="00E00F29">
              <w:rPr>
                <w:rFonts w:ascii="Calibri" w:eastAsia="Times New Roman" w:hAnsi="Calibri" w:cs="Calibri"/>
                <w:kern w:val="0"/>
                <w:lang w:eastAsia="en-GB"/>
                <w14:ligatures w14:val="none"/>
              </w:rPr>
              <w:t xml:space="preserve"> The same </w:t>
            </w:r>
            <w:r w:rsidR="00841C01">
              <w:rPr>
                <w:rFonts w:ascii="Calibri" w:eastAsia="Times New Roman" w:hAnsi="Calibri" w:cs="Calibri"/>
                <w:kern w:val="0"/>
                <w:lang w:eastAsia="en-GB"/>
                <w14:ligatures w14:val="none"/>
              </w:rPr>
              <w:t>a</w:t>
            </w:r>
            <w:r w:rsidR="00E00F29">
              <w:rPr>
                <w:rFonts w:ascii="Calibri" w:eastAsia="Times New Roman" w:hAnsi="Calibri" w:cs="Calibri"/>
                <w:kern w:val="0"/>
                <w:lang w:eastAsia="en-GB"/>
                <w14:ligatures w14:val="none"/>
              </w:rPr>
              <w:t xml:space="preserve">rticle limits the right of appeal with reference to specific Acts and Orders as well as to Schedules in the Order itself.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(e.g. qualifications, </w:t>
            </w:r>
            <w:r w:rsidRPr="00CF2E7C">
              <w:rPr>
                <w:rFonts w:ascii="Calibri" w:eastAsia="Times New Roman" w:hAnsi="Calibri" w:cs="Calibri"/>
                <w:kern w:val="0"/>
                <w:lang w:eastAsia="en-GB"/>
                <w14:ligatures w14:val="none"/>
              </w:rPr>
              <w:lastRenderedPageBreak/>
              <w:t>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63A014D6" w:rsidR="00B87C89" w:rsidRPr="00CF2E7C" w:rsidRDefault="00701A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2E8558" w:rsidR="00B87C89" w:rsidRPr="00B82EA8" w:rsidRDefault="005F7127" w:rsidP="00CF2E7C">
            <w:pPr>
              <w:textAlignment w:val="baseline"/>
              <w:rPr>
                <w:rFonts w:ascii="Calibri" w:eastAsia="Times New Roman" w:hAnsi="Calibri" w:cs="Calibri"/>
                <w:kern w:val="0"/>
                <w:highlight w:val="yellow"/>
                <w:lang w:eastAsia="en-GB"/>
                <w14:ligatures w14:val="none"/>
              </w:rPr>
            </w:pPr>
            <w:r>
              <w:rPr>
                <w:rFonts w:ascii="Calibri" w:eastAsia="Times New Roman" w:hAnsi="Calibri" w:cs="Calibri"/>
                <w:kern w:val="0"/>
                <w:lang w:eastAsia="en-GB"/>
                <w14:ligatures w14:val="none"/>
              </w:rPr>
              <w:t>Not specified in the policy tool</w:t>
            </w:r>
            <w:r w:rsidR="00D864DB" w:rsidRPr="005F7127">
              <w:rPr>
                <w:rFonts w:ascii="Calibri" w:eastAsia="Times New Roman" w:hAnsi="Calibri" w:cs="Calibri"/>
                <w:kern w:val="0"/>
                <w:lang w:eastAsia="en-GB"/>
                <w14:ligatures w14:val="none"/>
              </w:rPr>
              <w:t xml:space="preserve">. </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7A9B3E06" w:rsidR="002119B6" w:rsidRPr="00CF2E7C" w:rsidRDefault="004B5C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0A773F3"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46BE4EF8" w:rsidR="002119B6" w:rsidRPr="00CC04AE" w:rsidRDefault="002119B6" w:rsidP="00CF2E7C">
            <w:pPr>
              <w:textAlignment w:val="baseline"/>
              <w:rPr>
                <w:rFonts w:ascii="Calibri" w:eastAsia="Times New Roman" w:hAnsi="Calibri" w:cs="Calibri"/>
                <w:b/>
                <w:bCs/>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509C8AF"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DE85D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ACCDF4E"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CDF1AC1"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34CE513"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8782733"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4A3BBF4"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40178B11"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11B652E"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FC0E67B"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62869E54"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bookmarkStart w:id="35" w:name="_Hlk202964048"/>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E80ACC" w14:textId="6E2B9943" w:rsidR="00777346" w:rsidRPr="00CF2E7C" w:rsidRDefault="00777346" w:rsidP="00777346">
            <w:pPr>
              <w:rPr>
                <w:rFonts w:ascii="Calibri" w:eastAsia="Times New Roman" w:hAnsi="Calibri" w:cs="Calibri"/>
                <w:kern w:val="0"/>
                <w:lang w:eastAsia="en-GB"/>
                <w14:ligatures w14:val="none"/>
              </w:rPr>
            </w:pPr>
          </w:p>
          <w:p w14:paraId="5635CD78" w14:textId="1FEEDE09" w:rsidR="00B82EA8" w:rsidRPr="00CF2E7C" w:rsidRDefault="00B82EA8" w:rsidP="00777346">
            <w:pPr>
              <w:rPr>
                <w:rFonts w:ascii="Calibri" w:eastAsia="Times New Roman" w:hAnsi="Calibri" w:cs="Calibri"/>
                <w:kern w:val="0"/>
                <w:lang w:eastAsia="en-GB"/>
                <w14:ligatures w14:val="none"/>
              </w:rPr>
            </w:pPr>
          </w:p>
        </w:tc>
      </w:tr>
      <w:bookmarkEnd w:id="35"/>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36F3AB7A"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32C541AA"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381634D"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353E729"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9628C26"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38C96E07" w:rsidR="00FE7FA5" w:rsidRPr="00CF2E7C" w:rsidRDefault="00D864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12D4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96D0B" w:rsidRDefault="00DD292A" w:rsidP="00CF2E7C">
            <w:pPr>
              <w:rPr>
                <w:rFonts w:ascii="Calibri" w:hAnsi="Calibri" w:cs="Calibri"/>
                <w:lang w:val="fr-FR"/>
              </w:rPr>
            </w:pPr>
            <w:r w:rsidRPr="00E96D0B">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96D0B"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62662A" w:rsidP="00CF2E7C">
            <w:pPr>
              <w:rPr>
                <w:rFonts w:cstheme="minorHAnsi"/>
              </w:rPr>
            </w:pPr>
            <w:hyperlink r:id="rId26"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62662A" w:rsidP="00CF2E7C">
            <w:pPr>
              <w:rPr>
                <w:rFonts w:cstheme="minorHAnsi"/>
              </w:rPr>
            </w:pPr>
            <w:hyperlink r:id="rId27"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12D4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96D0B" w:rsidRDefault="002F0752" w:rsidP="00CF2E7C">
            <w:pPr>
              <w:rPr>
                <w:rFonts w:ascii="Calibri" w:hAnsi="Calibri" w:cs="Calibri"/>
                <w:lang w:val="fr-FR"/>
              </w:rPr>
            </w:pPr>
            <w:r w:rsidRPr="00E96D0B">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96D0B"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9C7D13" w14:textId="77777777" w:rsidR="00747BD5" w:rsidRDefault="00747BD5" w:rsidP="00874E39">
      <w:r>
        <w:separator/>
      </w:r>
    </w:p>
  </w:endnote>
  <w:endnote w:type="continuationSeparator" w:id="0">
    <w:p w14:paraId="138594E0" w14:textId="77777777" w:rsidR="00747BD5" w:rsidRDefault="00747BD5" w:rsidP="00874E39">
      <w:r>
        <w:continuationSeparator/>
      </w:r>
    </w:p>
  </w:endnote>
  <w:endnote w:type="continuationNotice" w:id="1">
    <w:p w14:paraId="359E575D" w14:textId="77777777" w:rsidR="00747BD5" w:rsidRDefault="00747B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485D6E70" w:rsidR="00874E39" w:rsidRDefault="00874E39" w:rsidP="0045186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07B9D338"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250B94F0"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2E3375" w14:textId="77777777" w:rsidR="00747BD5" w:rsidRDefault="00747BD5" w:rsidP="00874E39">
      <w:r>
        <w:separator/>
      </w:r>
    </w:p>
  </w:footnote>
  <w:footnote w:type="continuationSeparator" w:id="0">
    <w:p w14:paraId="0395E1EB" w14:textId="77777777" w:rsidR="00747BD5" w:rsidRDefault="00747BD5" w:rsidP="00874E39">
      <w:r>
        <w:continuationSeparator/>
      </w:r>
    </w:p>
  </w:footnote>
  <w:footnote w:type="continuationNotice" w:id="1">
    <w:p w14:paraId="6F3BA014" w14:textId="77777777" w:rsidR="00747BD5" w:rsidRDefault="00747BD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468B9" w14:textId="77777777" w:rsidR="00307B5D" w:rsidRDefault="00307B5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5D87D" w14:textId="77777777" w:rsidR="00307B5D" w:rsidRDefault="00307B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935221"/>
    <w:multiLevelType w:val="hybridMultilevel"/>
    <w:tmpl w:val="2AD0D314"/>
    <w:lvl w:ilvl="0" w:tplc="ED4633B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62341053">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6C44"/>
    <w:rsid w:val="00021C84"/>
    <w:rsid w:val="000235A5"/>
    <w:rsid w:val="000237AB"/>
    <w:rsid w:val="00024B36"/>
    <w:rsid w:val="00024B46"/>
    <w:rsid w:val="00025699"/>
    <w:rsid w:val="00027241"/>
    <w:rsid w:val="00027314"/>
    <w:rsid w:val="00027BB2"/>
    <w:rsid w:val="00027D03"/>
    <w:rsid w:val="000308E0"/>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77"/>
    <w:rsid w:val="00061CCB"/>
    <w:rsid w:val="00062223"/>
    <w:rsid w:val="00062526"/>
    <w:rsid w:val="00064195"/>
    <w:rsid w:val="00064FDB"/>
    <w:rsid w:val="00065A4A"/>
    <w:rsid w:val="0006692A"/>
    <w:rsid w:val="00067528"/>
    <w:rsid w:val="00067899"/>
    <w:rsid w:val="00067E05"/>
    <w:rsid w:val="000702AA"/>
    <w:rsid w:val="000704DB"/>
    <w:rsid w:val="00071C1F"/>
    <w:rsid w:val="00074E73"/>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05"/>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F4B"/>
    <w:rsid w:val="000F2BBC"/>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0A9"/>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6DD"/>
    <w:rsid w:val="00142B76"/>
    <w:rsid w:val="00145138"/>
    <w:rsid w:val="001457F8"/>
    <w:rsid w:val="00146B77"/>
    <w:rsid w:val="001470A9"/>
    <w:rsid w:val="001471CB"/>
    <w:rsid w:val="00150B6F"/>
    <w:rsid w:val="00150BA9"/>
    <w:rsid w:val="00152C19"/>
    <w:rsid w:val="00153DBC"/>
    <w:rsid w:val="001546B4"/>
    <w:rsid w:val="00154DB9"/>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3918"/>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978"/>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9CD"/>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0CD"/>
    <w:rsid w:val="002737EF"/>
    <w:rsid w:val="00274335"/>
    <w:rsid w:val="00274864"/>
    <w:rsid w:val="00274B22"/>
    <w:rsid w:val="00277FC5"/>
    <w:rsid w:val="002805A6"/>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EF1"/>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5EC"/>
    <w:rsid w:val="002C060D"/>
    <w:rsid w:val="002C0DCE"/>
    <w:rsid w:val="002C14C2"/>
    <w:rsid w:val="002C169C"/>
    <w:rsid w:val="002C2336"/>
    <w:rsid w:val="002C5DD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134"/>
    <w:rsid w:val="003020DB"/>
    <w:rsid w:val="00302816"/>
    <w:rsid w:val="00302BC0"/>
    <w:rsid w:val="003032A9"/>
    <w:rsid w:val="00303B91"/>
    <w:rsid w:val="00303D9A"/>
    <w:rsid w:val="00304070"/>
    <w:rsid w:val="00306538"/>
    <w:rsid w:val="00307058"/>
    <w:rsid w:val="003071A8"/>
    <w:rsid w:val="00307464"/>
    <w:rsid w:val="00307B5D"/>
    <w:rsid w:val="0031143A"/>
    <w:rsid w:val="00311F1B"/>
    <w:rsid w:val="00313275"/>
    <w:rsid w:val="00313E83"/>
    <w:rsid w:val="003175A1"/>
    <w:rsid w:val="003218C6"/>
    <w:rsid w:val="00322783"/>
    <w:rsid w:val="00322BCF"/>
    <w:rsid w:val="003241BC"/>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B14"/>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74"/>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17F"/>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852"/>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86F"/>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3E3B"/>
    <w:rsid w:val="00484663"/>
    <w:rsid w:val="00485B85"/>
    <w:rsid w:val="00486758"/>
    <w:rsid w:val="00486B53"/>
    <w:rsid w:val="00486C77"/>
    <w:rsid w:val="00487618"/>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399"/>
    <w:rsid w:val="004B3C40"/>
    <w:rsid w:val="004B4203"/>
    <w:rsid w:val="004B5C6B"/>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4B0"/>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BAE"/>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8FD"/>
    <w:rsid w:val="005F7127"/>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D4B"/>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62A"/>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13D"/>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D07"/>
    <w:rsid w:val="006D43AA"/>
    <w:rsid w:val="006D4C70"/>
    <w:rsid w:val="006D5605"/>
    <w:rsid w:val="006D62BF"/>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A7B"/>
    <w:rsid w:val="00702413"/>
    <w:rsid w:val="00702929"/>
    <w:rsid w:val="00702E5A"/>
    <w:rsid w:val="00703034"/>
    <w:rsid w:val="007032D7"/>
    <w:rsid w:val="007055F4"/>
    <w:rsid w:val="00705948"/>
    <w:rsid w:val="00705ADE"/>
    <w:rsid w:val="007066F4"/>
    <w:rsid w:val="00707D5E"/>
    <w:rsid w:val="00707F76"/>
    <w:rsid w:val="00710D70"/>
    <w:rsid w:val="00711F61"/>
    <w:rsid w:val="007130D4"/>
    <w:rsid w:val="00714103"/>
    <w:rsid w:val="00714E43"/>
    <w:rsid w:val="00715C5A"/>
    <w:rsid w:val="00717C33"/>
    <w:rsid w:val="007201B1"/>
    <w:rsid w:val="007245FC"/>
    <w:rsid w:val="007250B7"/>
    <w:rsid w:val="007274CB"/>
    <w:rsid w:val="0072785A"/>
    <w:rsid w:val="00730C51"/>
    <w:rsid w:val="00730E27"/>
    <w:rsid w:val="007312A3"/>
    <w:rsid w:val="00732A4B"/>
    <w:rsid w:val="00732D3A"/>
    <w:rsid w:val="007335CD"/>
    <w:rsid w:val="00733903"/>
    <w:rsid w:val="00733D39"/>
    <w:rsid w:val="007355AB"/>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5A3"/>
    <w:rsid w:val="007459FF"/>
    <w:rsid w:val="00747BD5"/>
    <w:rsid w:val="00750A02"/>
    <w:rsid w:val="00752CD3"/>
    <w:rsid w:val="00753427"/>
    <w:rsid w:val="0075345B"/>
    <w:rsid w:val="0075419A"/>
    <w:rsid w:val="00754C24"/>
    <w:rsid w:val="007557DF"/>
    <w:rsid w:val="0075609B"/>
    <w:rsid w:val="00756E62"/>
    <w:rsid w:val="007600D1"/>
    <w:rsid w:val="007615D2"/>
    <w:rsid w:val="00761FFF"/>
    <w:rsid w:val="00763C64"/>
    <w:rsid w:val="00764D1A"/>
    <w:rsid w:val="00764DB3"/>
    <w:rsid w:val="00765130"/>
    <w:rsid w:val="007653FB"/>
    <w:rsid w:val="0076706A"/>
    <w:rsid w:val="0077017A"/>
    <w:rsid w:val="007710D7"/>
    <w:rsid w:val="00773639"/>
    <w:rsid w:val="00773E4B"/>
    <w:rsid w:val="00774353"/>
    <w:rsid w:val="00775056"/>
    <w:rsid w:val="007759A9"/>
    <w:rsid w:val="007759EF"/>
    <w:rsid w:val="00775C7B"/>
    <w:rsid w:val="00777346"/>
    <w:rsid w:val="00777550"/>
    <w:rsid w:val="00777BF4"/>
    <w:rsid w:val="00777E1D"/>
    <w:rsid w:val="007802C6"/>
    <w:rsid w:val="007807DE"/>
    <w:rsid w:val="00782ABB"/>
    <w:rsid w:val="00782B03"/>
    <w:rsid w:val="00783F69"/>
    <w:rsid w:val="0078610D"/>
    <w:rsid w:val="007863CE"/>
    <w:rsid w:val="007866CF"/>
    <w:rsid w:val="00786AC9"/>
    <w:rsid w:val="00786EC4"/>
    <w:rsid w:val="007915C9"/>
    <w:rsid w:val="00791ED5"/>
    <w:rsid w:val="00792AC3"/>
    <w:rsid w:val="007936B2"/>
    <w:rsid w:val="007936C6"/>
    <w:rsid w:val="007939C4"/>
    <w:rsid w:val="00794D7C"/>
    <w:rsid w:val="00795F60"/>
    <w:rsid w:val="007963A0"/>
    <w:rsid w:val="00796DBC"/>
    <w:rsid w:val="007976D7"/>
    <w:rsid w:val="007A24F7"/>
    <w:rsid w:val="007A316E"/>
    <w:rsid w:val="007A3EDA"/>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DE4"/>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A70"/>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C01"/>
    <w:rsid w:val="0084243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BA5"/>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B7B"/>
    <w:rsid w:val="008B7E8C"/>
    <w:rsid w:val="008B7F82"/>
    <w:rsid w:val="008C07E1"/>
    <w:rsid w:val="008C0FA6"/>
    <w:rsid w:val="008C2AC5"/>
    <w:rsid w:val="008C2E61"/>
    <w:rsid w:val="008C4722"/>
    <w:rsid w:val="008C5525"/>
    <w:rsid w:val="008C6E2B"/>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C1B"/>
    <w:rsid w:val="00926863"/>
    <w:rsid w:val="00926D7F"/>
    <w:rsid w:val="009307C9"/>
    <w:rsid w:val="0093086E"/>
    <w:rsid w:val="00931401"/>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578A8"/>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22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254D"/>
    <w:rsid w:val="00AD33BE"/>
    <w:rsid w:val="00AD4477"/>
    <w:rsid w:val="00AD4F51"/>
    <w:rsid w:val="00AD5285"/>
    <w:rsid w:val="00AD54D3"/>
    <w:rsid w:val="00AD70E0"/>
    <w:rsid w:val="00AE0028"/>
    <w:rsid w:val="00AE00FE"/>
    <w:rsid w:val="00AE0451"/>
    <w:rsid w:val="00AE0803"/>
    <w:rsid w:val="00AE0ADB"/>
    <w:rsid w:val="00AE10D4"/>
    <w:rsid w:val="00AE2662"/>
    <w:rsid w:val="00AE27D2"/>
    <w:rsid w:val="00AE2E62"/>
    <w:rsid w:val="00AE3CBD"/>
    <w:rsid w:val="00AE5D21"/>
    <w:rsid w:val="00AE7C5F"/>
    <w:rsid w:val="00AF034E"/>
    <w:rsid w:val="00AF08A8"/>
    <w:rsid w:val="00AF2019"/>
    <w:rsid w:val="00AF26B7"/>
    <w:rsid w:val="00AF30AE"/>
    <w:rsid w:val="00AF30FD"/>
    <w:rsid w:val="00AF3FC6"/>
    <w:rsid w:val="00AF4B5F"/>
    <w:rsid w:val="00AF5B6E"/>
    <w:rsid w:val="00AF79AE"/>
    <w:rsid w:val="00B003F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420"/>
    <w:rsid w:val="00B745B3"/>
    <w:rsid w:val="00B74F7D"/>
    <w:rsid w:val="00B76EAD"/>
    <w:rsid w:val="00B802FC"/>
    <w:rsid w:val="00B80E01"/>
    <w:rsid w:val="00B81D1E"/>
    <w:rsid w:val="00B82E77"/>
    <w:rsid w:val="00B82EA8"/>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4E3A"/>
    <w:rsid w:val="00B95827"/>
    <w:rsid w:val="00B95988"/>
    <w:rsid w:val="00BA01DD"/>
    <w:rsid w:val="00BA08E0"/>
    <w:rsid w:val="00BA118E"/>
    <w:rsid w:val="00BA1D39"/>
    <w:rsid w:val="00BA3247"/>
    <w:rsid w:val="00BA4481"/>
    <w:rsid w:val="00BA4FFC"/>
    <w:rsid w:val="00BA5206"/>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E39"/>
    <w:rsid w:val="00C1090B"/>
    <w:rsid w:val="00C10DD0"/>
    <w:rsid w:val="00C1129A"/>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37FAC"/>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312"/>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114"/>
    <w:rsid w:val="00C93AD3"/>
    <w:rsid w:val="00C93F42"/>
    <w:rsid w:val="00C9418B"/>
    <w:rsid w:val="00C95D67"/>
    <w:rsid w:val="00C97222"/>
    <w:rsid w:val="00CA0DAE"/>
    <w:rsid w:val="00CA0E49"/>
    <w:rsid w:val="00CA1535"/>
    <w:rsid w:val="00CA5087"/>
    <w:rsid w:val="00CA58EE"/>
    <w:rsid w:val="00CA7EEF"/>
    <w:rsid w:val="00CB1649"/>
    <w:rsid w:val="00CB1692"/>
    <w:rsid w:val="00CB179D"/>
    <w:rsid w:val="00CB1CAC"/>
    <w:rsid w:val="00CB3E5E"/>
    <w:rsid w:val="00CB4EBD"/>
    <w:rsid w:val="00CB6338"/>
    <w:rsid w:val="00CB76AA"/>
    <w:rsid w:val="00CB790E"/>
    <w:rsid w:val="00CC04A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1A"/>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242"/>
    <w:rsid w:val="00D70367"/>
    <w:rsid w:val="00D7554F"/>
    <w:rsid w:val="00D765DD"/>
    <w:rsid w:val="00D76854"/>
    <w:rsid w:val="00D80C46"/>
    <w:rsid w:val="00D818DF"/>
    <w:rsid w:val="00D825A8"/>
    <w:rsid w:val="00D83201"/>
    <w:rsid w:val="00D8337E"/>
    <w:rsid w:val="00D8345D"/>
    <w:rsid w:val="00D864DB"/>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B6DB0"/>
    <w:rsid w:val="00DC18A5"/>
    <w:rsid w:val="00DC1D8C"/>
    <w:rsid w:val="00DC231D"/>
    <w:rsid w:val="00DC31BF"/>
    <w:rsid w:val="00DC33EF"/>
    <w:rsid w:val="00DC4911"/>
    <w:rsid w:val="00DC688E"/>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0F29"/>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927"/>
    <w:rsid w:val="00E21A0C"/>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BFA"/>
    <w:rsid w:val="00E81727"/>
    <w:rsid w:val="00E8221C"/>
    <w:rsid w:val="00E83D9D"/>
    <w:rsid w:val="00E83E48"/>
    <w:rsid w:val="00E855D9"/>
    <w:rsid w:val="00E85E70"/>
    <w:rsid w:val="00E86E3F"/>
    <w:rsid w:val="00E87F57"/>
    <w:rsid w:val="00E911ED"/>
    <w:rsid w:val="00E91BCF"/>
    <w:rsid w:val="00E9266B"/>
    <w:rsid w:val="00E929F9"/>
    <w:rsid w:val="00E93807"/>
    <w:rsid w:val="00E94905"/>
    <w:rsid w:val="00E95DD6"/>
    <w:rsid w:val="00E969D1"/>
    <w:rsid w:val="00E96BB7"/>
    <w:rsid w:val="00E96D0B"/>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507"/>
    <w:rsid w:val="00F04743"/>
    <w:rsid w:val="00F07460"/>
    <w:rsid w:val="00F10A6E"/>
    <w:rsid w:val="00F11111"/>
    <w:rsid w:val="00F1189D"/>
    <w:rsid w:val="00F11A81"/>
    <w:rsid w:val="00F11A8A"/>
    <w:rsid w:val="00F13A6D"/>
    <w:rsid w:val="00F156A3"/>
    <w:rsid w:val="00F1597E"/>
    <w:rsid w:val="00F16329"/>
    <w:rsid w:val="00F17407"/>
    <w:rsid w:val="00F179A4"/>
    <w:rsid w:val="00F2158D"/>
    <w:rsid w:val="00F21C87"/>
    <w:rsid w:val="00F21E1D"/>
    <w:rsid w:val="00F233CB"/>
    <w:rsid w:val="00F23936"/>
    <w:rsid w:val="00F2408E"/>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F2F"/>
    <w:rsid w:val="00F477F2"/>
    <w:rsid w:val="00F511CC"/>
    <w:rsid w:val="00F51334"/>
    <w:rsid w:val="00F51A0E"/>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D5"/>
    <w:rsid w:val="00F946F6"/>
    <w:rsid w:val="00F94F26"/>
    <w:rsid w:val="00F9516C"/>
    <w:rsid w:val="00F9576A"/>
    <w:rsid w:val="00F96F02"/>
    <w:rsid w:val="00F973EA"/>
    <w:rsid w:val="00F97EEE"/>
    <w:rsid w:val="00FA0392"/>
    <w:rsid w:val="00FA0CF8"/>
    <w:rsid w:val="00FA119A"/>
    <w:rsid w:val="00FA2D54"/>
    <w:rsid w:val="00FA38D8"/>
    <w:rsid w:val="00FA4B8D"/>
    <w:rsid w:val="00FA4E98"/>
    <w:rsid w:val="00FA6DED"/>
    <w:rsid w:val="00FA76DF"/>
    <w:rsid w:val="00FA78EA"/>
    <w:rsid w:val="00FB5A70"/>
    <w:rsid w:val="00FB66F8"/>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BF5"/>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2358731">
      <w:bodyDiv w:val="1"/>
      <w:marLeft w:val="0"/>
      <w:marRight w:val="0"/>
      <w:marTop w:val="0"/>
      <w:marBottom w:val="0"/>
      <w:divBdr>
        <w:top w:val="none" w:sz="0" w:space="0" w:color="auto"/>
        <w:left w:val="none" w:sz="0" w:space="0" w:color="auto"/>
        <w:bottom w:val="none" w:sz="0" w:space="0" w:color="auto"/>
        <w:right w:val="none" w:sz="0" w:space="0" w:color="auto"/>
      </w:divBdr>
      <w:divsChild>
        <w:div w:id="425931283">
          <w:marLeft w:val="0"/>
          <w:marRight w:val="0"/>
          <w:marTop w:val="0"/>
          <w:marBottom w:val="0"/>
          <w:divBdr>
            <w:top w:val="none" w:sz="0" w:space="0" w:color="auto"/>
            <w:left w:val="none" w:sz="0" w:space="0" w:color="auto"/>
            <w:bottom w:val="none" w:sz="0" w:space="0" w:color="auto"/>
            <w:right w:val="none" w:sz="0" w:space="0" w:color="auto"/>
          </w:divBdr>
        </w:div>
      </w:divsChild>
    </w:div>
    <w:div w:id="170459317">
      <w:bodyDiv w:val="1"/>
      <w:marLeft w:val="0"/>
      <w:marRight w:val="0"/>
      <w:marTop w:val="0"/>
      <w:marBottom w:val="0"/>
      <w:divBdr>
        <w:top w:val="none" w:sz="0" w:space="0" w:color="auto"/>
        <w:left w:val="none" w:sz="0" w:space="0" w:color="auto"/>
        <w:bottom w:val="none" w:sz="0" w:space="0" w:color="auto"/>
        <w:right w:val="none" w:sz="0" w:space="0" w:color="auto"/>
      </w:divBdr>
      <w:divsChild>
        <w:div w:id="1368412092">
          <w:marLeft w:val="0"/>
          <w:marRight w:val="0"/>
          <w:marTop w:val="0"/>
          <w:marBottom w:val="0"/>
          <w:divBdr>
            <w:top w:val="none" w:sz="0" w:space="0" w:color="auto"/>
            <w:left w:val="none" w:sz="0" w:space="0" w:color="auto"/>
            <w:bottom w:val="none" w:sz="0" w:space="0" w:color="auto"/>
            <w:right w:val="none" w:sz="0" w:space="0" w:color="auto"/>
          </w:divBdr>
        </w:div>
      </w:divsChild>
    </w:div>
    <w:div w:id="245190809">
      <w:bodyDiv w:val="1"/>
      <w:marLeft w:val="0"/>
      <w:marRight w:val="0"/>
      <w:marTop w:val="0"/>
      <w:marBottom w:val="0"/>
      <w:divBdr>
        <w:top w:val="none" w:sz="0" w:space="0" w:color="auto"/>
        <w:left w:val="none" w:sz="0" w:space="0" w:color="auto"/>
        <w:bottom w:val="none" w:sz="0" w:space="0" w:color="auto"/>
        <w:right w:val="none" w:sz="0" w:space="0" w:color="auto"/>
      </w:divBdr>
      <w:divsChild>
        <w:div w:id="1897356088">
          <w:marLeft w:val="0"/>
          <w:marRight w:val="0"/>
          <w:marTop w:val="0"/>
          <w:marBottom w:val="0"/>
          <w:divBdr>
            <w:top w:val="none" w:sz="0" w:space="0" w:color="auto"/>
            <w:left w:val="none" w:sz="0" w:space="0" w:color="auto"/>
            <w:bottom w:val="none" w:sz="0" w:space="0" w:color="auto"/>
            <w:right w:val="none" w:sz="0" w:space="0" w:color="auto"/>
          </w:divBdr>
        </w:div>
      </w:divsChild>
    </w:div>
    <w:div w:id="334772154">
      <w:bodyDiv w:val="1"/>
      <w:marLeft w:val="0"/>
      <w:marRight w:val="0"/>
      <w:marTop w:val="0"/>
      <w:marBottom w:val="0"/>
      <w:divBdr>
        <w:top w:val="none" w:sz="0" w:space="0" w:color="auto"/>
        <w:left w:val="none" w:sz="0" w:space="0" w:color="auto"/>
        <w:bottom w:val="none" w:sz="0" w:space="0" w:color="auto"/>
        <w:right w:val="none" w:sz="0" w:space="0" w:color="auto"/>
      </w:divBdr>
      <w:divsChild>
        <w:div w:id="2024823044">
          <w:marLeft w:val="0"/>
          <w:marRight w:val="0"/>
          <w:marTop w:val="0"/>
          <w:marBottom w:val="0"/>
          <w:divBdr>
            <w:top w:val="none" w:sz="0" w:space="0" w:color="auto"/>
            <w:left w:val="none" w:sz="0" w:space="0" w:color="auto"/>
            <w:bottom w:val="none" w:sz="0" w:space="0" w:color="auto"/>
            <w:right w:val="none" w:sz="0" w:space="0" w:color="auto"/>
          </w:divBdr>
          <w:divsChild>
            <w:div w:id="1643539907">
              <w:marLeft w:val="0"/>
              <w:marRight w:val="0"/>
              <w:marTop w:val="0"/>
              <w:marBottom w:val="0"/>
              <w:divBdr>
                <w:top w:val="none" w:sz="0" w:space="0" w:color="auto"/>
                <w:left w:val="none" w:sz="0" w:space="0" w:color="auto"/>
                <w:bottom w:val="none" w:sz="0" w:space="0" w:color="auto"/>
                <w:right w:val="none" w:sz="0" w:space="0" w:color="auto"/>
              </w:divBdr>
              <w:divsChild>
                <w:div w:id="1556702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5202695">
      <w:bodyDiv w:val="1"/>
      <w:marLeft w:val="0"/>
      <w:marRight w:val="0"/>
      <w:marTop w:val="0"/>
      <w:marBottom w:val="0"/>
      <w:divBdr>
        <w:top w:val="none" w:sz="0" w:space="0" w:color="auto"/>
        <w:left w:val="none" w:sz="0" w:space="0" w:color="auto"/>
        <w:bottom w:val="none" w:sz="0" w:space="0" w:color="auto"/>
        <w:right w:val="none" w:sz="0" w:space="0" w:color="auto"/>
      </w:divBdr>
      <w:divsChild>
        <w:div w:id="457261662">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2278930">
      <w:bodyDiv w:val="1"/>
      <w:marLeft w:val="0"/>
      <w:marRight w:val="0"/>
      <w:marTop w:val="0"/>
      <w:marBottom w:val="0"/>
      <w:divBdr>
        <w:top w:val="none" w:sz="0" w:space="0" w:color="auto"/>
        <w:left w:val="none" w:sz="0" w:space="0" w:color="auto"/>
        <w:bottom w:val="none" w:sz="0" w:space="0" w:color="auto"/>
        <w:right w:val="none" w:sz="0" w:space="0" w:color="auto"/>
      </w:divBdr>
      <w:divsChild>
        <w:div w:id="1253858020">
          <w:marLeft w:val="0"/>
          <w:marRight w:val="0"/>
          <w:marTop w:val="0"/>
          <w:marBottom w:val="0"/>
          <w:divBdr>
            <w:top w:val="none" w:sz="0" w:space="0" w:color="auto"/>
            <w:left w:val="none" w:sz="0" w:space="0" w:color="auto"/>
            <w:bottom w:val="none" w:sz="0" w:space="0" w:color="auto"/>
            <w:right w:val="none" w:sz="0" w:space="0" w:color="auto"/>
          </w:divBdr>
          <w:divsChild>
            <w:div w:id="2084796006">
              <w:marLeft w:val="0"/>
              <w:marRight w:val="0"/>
              <w:marTop w:val="0"/>
              <w:marBottom w:val="0"/>
              <w:divBdr>
                <w:top w:val="none" w:sz="0" w:space="0" w:color="auto"/>
                <w:left w:val="none" w:sz="0" w:space="0" w:color="auto"/>
                <w:bottom w:val="none" w:sz="0" w:space="0" w:color="auto"/>
                <w:right w:val="none" w:sz="0" w:space="0" w:color="auto"/>
              </w:divBdr>
              <w:divsChild>
                <w:div w:id="1319920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4266525">
      <w:bodyDiv w:val="1"/>
      <w:marLeft w:val="0"/>
      <w:marRight w:val="0"/>
      <w:marTop w:val="0"/>
      <w:marBottom w:val="0"/>
      <w:divBdr>
        <w:top w:val="none" w:sz="0" w:space="0" w:color="auto"/>
        <w:left w:val="none" w:sz="0" w:space="0" w:color="auto"/>
        <w:bottom w:val="none" w:sz="0" w:space="0" w:color="auto"/>
        <w:right w:val="none" w:sz="0" w:space="0" w:color="auto"/>
      </w:divBdr>
      <w:divsChild>
        <w:div w:id="853959278">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866533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400031">
      <w:bodyDiv w:val="1"/>
      <w:marLeft w:val="0"/>
      <w:marRight w:val="0"/>
      <w:marTop w:val="0"/>
      <w:marBottom w:val="0"/>
      <w:divBdr>
        <w:top w:val="none" w:sz="0" w:space="0" w:color="auto"/>
        <w:left w:val="none" w:sz="0" w:space="0" w:color="auto"/>
        <w:bottom w:val="none" w:sz="0" w:space="0" w:color="auto"/>
        <w:right w:val="none" w:sz="0" w:space="0" w:color="auto"/>
      </w:divBdr>
    </w:div>
    <w:div w:id="1472601322">
      <w:bodyDiv w:val="1"/>
      <w:marLeft w:val="0"/>
      <w:marRight w:val="0"/>
      <w:marTop w:val="0"/>
      <w:marBottom w:val="0"/>
      <w:divBdr>
        <w:top w:val="none" w:sz="0" w:space="0" w:color="auto"/>
        <w:left w:val="none" w:sz="0" w:space="0" w:color="auto"/>
        <w:bottom w:val="none" w:sz="0" w:space="0" w:color="auto"/>
        <w:right w:val="none" w:sz="0" w:space="0" w:color="auto"/>
      </w:divBdr>
      <w:divsChild>
        <w:div w:id="771054017">
          <w:marLeft w:val="0"/>
          <w:marRight w:val="0"/>
          <w:marTop w:val="0"/>
          <w:marBottom w:val="0"/>
          <w:divBdr>
            <w:top w:val="none" w:sz="0" w:space="0" w:color="auto"/>
            <w:left w:val="none" w:sz="0" w:space="0" w:color="auto"/>
            <w:bottom w:val="none" w:sz="0" w:space="0" w:color="auto"/>
            <w:right w:val="none" w:sz="0" w:space="0" w:color="auto"/>
          </w:divBdr>
        </w:div>
      </w:divsChild>
    </w:div>
    <w:div w:id="1585067829">
      <w:bodyDiv w:val="1"/>
      <w:marLeft w:val="0"/>
      <w:marRight w:val="0"/>
      <w:marTop w:val="0"/>
      <w:marBottom w:val="0"/>
      <w:divBdr>
        <w:top w:val="none" w:sz="0" w:space="0" w:color="auto"/>
        <w:left w:val="none" w:sz="0" w:space="0" w:color="auto"/>
        <w:bottom w:val="none" w:sz="0" w:space="0" w:color="auto"/>
        <w:right w:val="none" w:sz="0" w:space="0" w:color="auto"/>
      </w:divBdr>
      <w:divsChild>
        <w:div w:id="900600636">
          <w:marLeft w:val="0"/>
          <w:marRight w:val="0"/>
          <w:marTop w:val="0"/>
          <w:marBottom w:val="0"/>
          <w:divBdr>
            <w:top w:val="none" w:sz="0" w:space="0" w:color="auto"/>
            <w:left w:val="none" w:sz="0" w:space="0" w:color="auto"/>
            <w:bottom w:val="none" w:sz="0" w:space="0" w:color="auto"/>
            <w:right w:val="none" w:sz="0" w:space="0" w:color="auto"/>
          </w:divBdr>
          <w:divsChild>
            <w:div w:id="1292059450">
              <w:marLeft w:val="0"/>
              <w:marRight w:val="0"/>
              <w:marTop w:val="0"/>
              <w:marBottom w:val="0"/>
              <w:divBdr>
                <w:top w:val="none" w:sz="0" w:space="0" w:color="auto"/>
                <w:left w:val="none" w:sz="0" w:space="0" w:color="auto"/>
                <w:bottom w:val="none" w:sz="0" w:space="0" w:color="auto"/>
                <w:right w:val="none" w:sz="0" w:space="0" w:color="auto"/>
              </w:divBdr>
              <w:divsChild>
                <w:div w:id="93028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588965">
      <w:bodyDiv w:val="1"/>
      <w:marLeft w:val="0"/>
      <w:marRight w:val="0"/>
      <w:marTop w:val="0"/>
      <w:marBottom w:val="0"/>
      <w:divBdr>
        <w:top w:val="none" w:sz="0" w:space="0" w:color="auto"/>
        <w:left w:val="none" w:sz="0" w:space="0" w:color="auto"/>
        <w:bottom w:val="none" w:sz="0" w:space="0" w:color="auto"/>
        <w:right w:val="none" w:sz="0" w:space="0" w:color="auto"/>
      </w:divBdr>
      <w:divsChild>
        <w:div w:id="1029376817">
          <w:marLeft w:val="0"/>
          <w:marRight w:val="0"/>
          <w:marTop w:val="0"/>
          <w:marBottom w:val="0"/>
          <w:divBdr>
            <w:top w:val="none" w:sz="0" w:space="0" w:color="auto"/>
            <w:left w:val="none" w:sz="0" w:space="0" w:color="auto"/>
            <w:bottom w:val="none" w:sz="0" w:space="0" w:color="auto"/>
            <w:right w:val="none" w:sz="0" w:space="0" w:color="auto"/>
          </w:divBdr>
        </w:div>
      </w:divsChild>
    </w:div>
    <w:div w:id="1690059027">
      <w:bodyDiv w:val="1"/>
      <w:marLeft w:val="0"/>
      <w:marRight w:val="0"/>
      <w:marTop w:val="0"/>
      <w:marBottom w:val="0"/>
      <w:divBdr>
        <w:top w:val="none" w:sz="0" w:space="0" w:color="auto"/>
        <w:left w:val="none" w:sz="0" w:space="0" w:color="auto"/>
        <w:bottom w:val="none" w:sz="0" w:space="0" w:color="auto"/>
        <w:right w:val="none" w:sz="0" w:space="0" w:color="auto"/>
      </w:divBdr>
      <w:divsChild>
        <w:div w:id="1986004689">
          <w:marLeft w:val="0"/>
          <w:marRight w:val="0"/>
          <w:marTop w:val="0"/>
          <w:marBottom w:val="0"/>
          <w:divBdr>
            <w:top w:val="none" w:sz="0" w:space="0" w:color="auto"/>
            <w:left w:val="none" w:sz="0" w:space="0" w:color="auto"/>
            <w:bottom w:val="none" w:sz="0" w:space="0" w:color="auto"/>
            <w:right w:val="none" w:sz="0" w:space="0" w:color="auto"/>
          </w:divBdr>
          <w:divsChild>
            <w:div w:id="899172930">
              <w:marLeft w:val="0"/>
              <w:marRight w:val="0"/>
              <w:marTop w:val="0"/>
              <w:marBottom w:val="0"/>
              <w:divBdr>
                <w:top w:val="none" w:sz="0" w:space="0" w:color="auto"/>
                <w:left w:val="none" w:sz="0" w:space="0" w:color="auto"/>
                <w:bottom w:val="none" w:sz="0" w:space="0" w:color="auto"/>
                <w:right w:val="none" w:sz="0" w:space="0" w:color="auto"/>
              </w:divBdr>
              <w:divsChild>
                <w:div w:id="126152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581665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6436492">
      <w:bodyDiv w:val="1"/>
      <w:marLeft w:val="0"/>
      <w:marRight w:val="0"/>
      <w:marTop w:val="0"/>
      <w:marBottom w:val="0"/>
      <w:divBdr>
        <w:top w:val="none" w:sz="0" w:space="0" w:color="auto"/>
        <w:left w:val="none" w:sz="0" w:space="0" w:color="auto"/>
        <w:bottom w:val="none" w:sz="0" w:space="0" w:color="auto"/>
        <w:right w:val="none" w:sz="0" w:space="0" w:color="auto"/>
      </w:divBdr>
      <w:divsChild>
        <w:div w:id="129921598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save/https:/www.gov.uk/guidance/oil-and-gas-decc-public-registers-of-enforcement-activity?utm_source=chatgpt.co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708112441/https://view-emissions-trading-registry.service.gov.uk/"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8124842/https://www.gov.uk/government/publications/participating-in-the-uk-ets/participating-in-the-uk-ets"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8142828/https://climatecasechart.com/non-us-case/elliott-smith-v-secretary-of-state-for-business-energy-and-industrial-strategy-et-al/"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8142816/https://www.ftbchambers.co.uk/news/news-view/challenge-to-new-uk-emissions-trading-scheme-dismissed"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18205416/https://www.legislation.gov.uk/uksi/2020/1265/content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save/https:/www.gov.uk/government/publications/environment-agency-enforcement-and-sanctions-policy/environment-agency-enforcement-and-sanctions-policy"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114</Pages>
  <Words>23798</Words>
  <Characters>135653</Characters>
  <Application>Microsoft Office Word</Application>
  <DocSecurity>0</DocSecurity>
  <Lines>1130</Lines>
  <Paragraphs>318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Frischemeier, Yasmin</cp:lastModifiedBy>
  <cp:revision>5</cp:revision>
  <cp:lastPrinted>2025-03-21T00:14:00Z</cp:lastPrinted>
  <dcterms:created xsi:type="dcterms:W3CDTF">2025-07-21T19:32:00Z</dcterms:created>
  <dcterms:modified xsi:type="dcterms:W3CDTF">2025-07-21T20:04:00Z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